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p>
      <w:pPr>
        <w:rPr>
          <w:rFonts w:hint="eastAsia" w:ascii="仿宋_GB2312" w:hAnsi="仿宋_GB2312" w:eastAsia="仿宋_GB2312" w:cs="仿宋_GB2312"/>
          <w:sz w:val="24"/>
          <w:szCs w:val="24"/>
          <w:lang w:val="en-US" w:eastAsia="zh-CN"/>
        </w:rPr>
      </w:pPr>
    </w:p>
    <w:p>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东莞农村商业银行</w:t>
      </w:r>
      <w:r>
        <w:rPr>
          <w:rFonts w:hint="eastAsia" w:ascii="宋体" w:hAnsi="宋体"/>
          <w:b/>
          <w:color w:val="auto"/>
          <w:sz w:val="32"/>
          <w:szCs w:val="32"/>
          <w:highlight w:val="none"/>
          <w:lang w:val="en-US" w:eastAsia="zh-CN"/>
        </w:rPr>
        <w:t>性能测试管理平台</w:t>
      </w:r>
      <w:r>
        <w:rPr>
          <w:rFonts w:hint="eastAsia" w:ascii="宋体" w:hAnsi="宋体"/>
          <w:b/>
          <w:bCs w:val="0"/>
          <w:color w:val="auto"/>
          <w:sz w:val="32"/>
          <w:szCs w:val="32"/>
          <w:highlight w:val="none"/>
        </w:rPr>
        <w:t>建设项目</w:t>
      </w:r>
      <w:r>
        <w:rPr>
          <w:rFonts w:hint="eastAsia" w:ascii="宋体" w:hAnsi="宋体"/>
          <w:b/>
          <w:color w:val="auto"/>
          <w:sz w:val="32"/>
          <w:szCs w:val="32"/>
          <w:highlight w:val="none"/>
        </w:rPr>
        <w:t>市场调研项目需求</w:t>
      </w:r>
    </w:p>
    <w:p>
      <w:pPr>
        <w:spacing w:line="360" w:lineRule="auto"/>
        <w:rPr>
          <w:rFonts w:ascii="宋体" w:hAnsi="宋体"/>
          <w:b/>
          <w:color w:val="auto"/>
          <w:szCs w:val="21"/>
          <w:highlight w:val="none"/>
        </w:rPr>
      </w:pPr>
    </w:p>
    <w:p>
      <w:pPr>
        <w:spacing w:line="360" w:lineRule="auto"/>
        <w:rPr>
          <w:rFonts w:ascii="宋体" w:hAnsi="宋体"/>
          <w:b/>
          <w:color w:val="auto"/>
          <w:szCs w:val="21"/>
          <w:highlight w:val="none"/>
        </w:rPr>
      </w:pPr>
      <w:r>
        <w:rPr>
          <w:rFonts w:hint="eastAsia" w:ascii="宋体" w:hAnsi="宋体"/>
          <w:b/>
          <w:color w:val="auto"/>
          <w:szCs w:val="21"/>
          <w:highlight w:val="none"/>
        </w:rPr>
        <w:t>一、项目信息</w:t>
      </w:r>
    </w:p>
    <w:p>
      <w:pPr>
        <w:widowControl/>
        <w:spacing w:line="360" w:lineRule="auto"/>
        <w:ind w:firstLine="420" w:firstLineChars="200"/>
        <w:rPr>
          <w:rFonts w:cs="仿宋_GB2312" w:asciiTheme="minorEastAsia" w:hAnsiTheme="minorEastAsia" w:eastAsiaTheme="minorEastAsia"/>
          <w:bCs/>
          <w:color w:val="auto"/>
          <w:szCs w:val="21"/>
          <w:highlight w:val="none"/>
        </w:rPr>
      </w:pPr>
      <w:r>
        <w:rPr>
          <w:rFonts w:cs="仿宋_GB2312" w:asciiTheme="minorEastAsia" w:hAnsiTheme="minorEastAsia" w:eastAsiaTheme="minorEastAsia"/>
          <w:bCs/>
          <w:color w:val="auto"/>
          <w:szCs w:val="21"/>
          <w:highlight w:val="none"/>
        </w:rPr>
        <w:t>项目名称：</w:t>
      </w:r>
      <w:r>
        <w:rPr>
          <w:rFonts w:hint="eastAsia" w:cs="仿宋_GB2312" w:asciiTheme="minorEastAsia" w:hAnsiTheme="minorEastAsia" w:eastAsiaTheme="minorEastAsia"/>
          <w:bCs/>
          <w:color w:val="auto"/>
          <w:szCs w:val="21"/>
          <w:highlight w:val="none"/>
        </w:rPr>
        <w:t>东莞农村商业银行</w:t>
      </w:r>
      <w:r>
        <w:rPr>
          <w:rFonts w:hint="eastAsia" w:cs="仿宋_GB2312" w:asciiTheme="minorEastAsia" w:hAnsiTheme="minorEastAsia"/>
          <w:bCs/>
          <w:color w:val="auto"/>
          <w:szCs w:val="21"/>
          <w:highlight w:val="none"/>
          <w:lang w:eastAsia="zh-CN"/>
        </w:rPr>
        <w:t>性能测试管理平台</w:t>
      </w:r>
      <w:r>
        <w:rPr>
          <w:rFonts w:hint="eastAsia" w:cs="仿宋_GB2312" w:asciiTheme="minorEastAsia" w:hAnsiTheme="minorEastAsia" w:eastAsiaTheme="minorEastAsia"/>
          <w:b w:val="0"/>
          <w:bCs/>
          <w:color w:val="auto"/>
          <w:sz w:val="21"/>
          <w:szCs w:val="21"/>
          <w:highlight w:val="none"/>
        </w:rPr>
        <w:t>建设项目</w:t>
      </w:r>
    </w:p>
    <w:p>
      <w:pPr>
        <w:widowControl/>
        <w:spacing w:line="360" w:lineRule="auto"/>
        <w:ind w:firstLine="420" w:firstLineChars="200"/>
        <w:rPr>
          <w:rFonts w:cs="仿宋_GB2312" w:asciiTheme="minorEastAsia" w:hAnsiTheme="minorEastAsia" w:eastAsiaTheme="minorEastAsia"/>
          <w:bCs/>
          <w:color w:val="auto"/>
          <w:szCs w:val="21"/>
          <w:highlight w:val="none"/>
        </w:rPr>
      </w:pPr>
      <w:r>
        <w:rPr>
          <w:rFonts w:hint="eastAsia" w:cs="仿宋_GB2312" w:asciiTheme="minorEastAsia" w:hAnsiTheme="minorEastAsia" w:eastAsiaTheme="minorEastAsia"/>
          <w:bCs/>
          <w:color w:val="auto"/>
          <w:szCs w:val="21"/>
          <w:highlight w:val="none"/>
        </w:rPr>
        <w:t>招标人：东莞农村商业银行股份有限公司</w:t>
      </w:r>
    </w:p>
    <w:p>
      <w:pPr>
        <w:widowControl/>
        <w:spacing w:line="360" w:lineRule="auto"/>
        <w:ind w:firstLine="420" w:firstLineChars="200"/>
        <w:rPr>
          <w:rFonts w:cs="仿宋_GB2312" w:asciiTheme="minorEastAsia" w:hAnsiTheme="minorEastAsia" w:eastAsiaTheme="minorEastAsia"/>
          <w:bCs/>
          <w:color w:val="auto"/>
          <w:szCs w:val="21"/>
          <w:highlight w:val="none"/>
        </w:rPr>
      </w:pPr>
      <w:r>
        <w:rPr>
          <w:rFonts w:cs="仿宋_GB2312" w:asciiTheme="minorEastAsia" w:hAnsiTheme="minorEastAsia" w:eastAsiaTheme="minorEastAsia"/>
          <w:bCs/>
          <w:color w:val="auto"/>
          <w:szCs w:val="21"/>
          <w:highlight w:val="none"/>
        </w:rPr>
        <w:t>项目</w:t>
      </w:r>
      <w:r>
        <w:rPr>
          <w:rFonts w:hint="eastAsia" w:cs="仿宋_GB2312" w:asciiTheme="minorEastAsia" w:hAnsiTheme="minorEastAsia" w:eastAsiaTheme="minorEastAsia"/>
          <w:bCs/>
          <w:color w:val="auto"/>
          <w:szCs w:val="21"/>
          <w:highlight w:val="none"/>
        </w:rPr>
        <w:t>概算</w:t>
      </w:r>
      <w:r>
        <w:rPr>
          <w:rFonts w:cs="仿宋_GB2312" w:asciiTheme="minorEastAsia" w:hAnsiTheme="minorEastAsia" w:eastAsiaTheme="minorEastAsia"/>
          <w:bCs/>
          <w:color w:val="auto"/>
          <w:szCs w:val="21"/>
          <w:highlight w:val="none"/>
        </w:rPr>
        <w:t>：</w:t>
      </w:r>
      <w:r>
        <w:rPr>
          <w:rFonts w:hint="eastAsia" w:cs="仿宋_GB2312" w:asciiTheme="minorEastAsia" w:hAnsiTheme="minorEastAsia" w:eastAsiaTheme="minorEastAsia"/>
          <w:bCs/>
          <w:color w:val="auto"/>
          <w:szCs w:val="21"/>
          <w:highlight w:val="none"/>
          <w:lang w:val="en-US" w:eastAsia="zh-CN"/>
        </w:rPr>
        <w:t>待定。</w:t>
      </w:r>
    </w:p>
    <w:p>
      <w:pPr>
        <w:widowControl/>
        <w:spacing w:line="360" w:lineRule="auto"/>
        <w:ind w:firstLine="420" w:firstLineChars="200"/>
        <w:rPr>
          <w:rFonts w:cs="仿宋_GB2312" w:asciiTheme="minorEastAsia" w:hAnsiTheme="minorEastAsia" w:eastAsiaTheme="minorEastAsia"/>
          <w:bCs/>
          <w:color w:val="auto"/>
          <w:szCs w:val="21"/>
          <w:highlight w:val="none"/>
        </w:rPr>
      </w:pPr>
      <w:r>
        <w:rPr>
          <w:rFonts w:hint="eastAsia" w:cs="仿宋_GB2312" w:asciiTheme="minorEastAsia" w:hAnsiTheme="minorEastAsia" w:eastAsiaTheme="minorEastAsia"/>
          <w:bCs/>
          <w:color w:val="auto"/>
          <w:szCs w:val="21"/>
          <w:highlight w:val="none"/>
        </w:rPr>
        <w:t>项目预计采购时间：202</w:t>
      </w:r>
      <w:r>
        <w:rPr>
          <w:rFonts w:hint="eastAsia" w:cs="仿宋_GB2312" w:asciiTheme="minorEastAsia" w:hAnsiTheme="minorEastAsia"/>
          <w:bCs/>
          <w:color w:val="auto"/>
          <w:szCs w:val="21"/>
          <w:highlight w:val="none"/>
          <w:lang w:val="en-US" w:eastAsia="zh-CN"/>
        </w:rPr>
        <w:t>7</w:t>
      </w:r>
      <w:r>
        <w:rPr>
          <w:rFonts w:hint="eastAsia" w:cs="仿宋_GB2312" w:asciiTheme="minorEastAsia" w:hAnsiTheme="minorEastAsia" w:eastAsiaTheme="minorEastAsia"/>
          <w:bCs/>
          <w:color w:val="auto"/>
          <w:szCs w:val="21"/>
          <w:highlight w:val="none"/>
        </w:rPr>
        <w:t>年</w:t>
      </w:r>
      <w:r>
        <w:rPr>
          <w:rFonts w:hint="eastAsia" w:cs="仿宋_GB2312" w:asciiTheme="minorEastAsia" w:hAnsiTheme="minorEastAsia"/>
          <w:bCs/>
          <w:color w:val="auto"/>
          <w:szCs w:val="21"/>
          <w:highlight w:val="none"/>
          <w:lang w:val="en-US" w:eastAsia="zh-CN"/>
        </w:rPr>
        <w:t>3</w:t>
      </w:r>
      <w:r>
        <w:rPr>
          <w:rFonts w:hint="eastAsia" w:cs="仿宋_GB2312" w:asciiTheme="minorEastAsia" w:hAnsiTheme="minorEastAsia" w:eastAsiaTheme="minorEastAsia"/>
          <w:bCs/>
          <w:color w:val="auto"/>
          <w:szCs w:val="21"/>
          <w:highlight w:val="none"/>
        </w:rPr>
        <w:t>月</w:t>
      </w:r>
    </w:p>
    <w:p>
      <w:pPr>
        <w:widowControl/>
        <w:spacing w:line="360" w:lineRule="auto"/>
        <w:ind w:firstLine="420" w:firstLineChars="200"/>
        <w:rPr>
          <w:rFonts w:cs="仿宋_GB2312" w:asciiTheme="minorEastAsia" w:hAnsiTheme="minorEastAsia" w:eastAsiaTheme="minorEastAsia"/>
          <w:bCs/>
          <w:color w:val="auto"/>
          <w:szCs w:val="21"/>
          <w:highlight w:val="none"/>
        </w:rPr>
      </w:pPr>
      <w:r>
        <w:rPr>
          <w:rFonts w:hint="eastAsia" w:cs="仿宋_GB2312" w:asciiTheme="minorEastAsia" w:hAnsiTheme="minorEastAsia" w:eastAsiaTheme="minorEastAsia"/>
          <w:bCs/>
          <w:color w:val="auto"/>
          <w:szCs w:val="21"/>
          <w:highlight w:val="none"/>
        </w:rPr>
        <w:t>项目工期要求：项目总工期</w:t>
      </w:r>
      <w:r>
        <w:rPr>
          <w:rFonts w:hint="eastAsia" w:cs="仿宋_GB2312" w:asciiTheme="minorEastAsia" w:hAnsiTheme="minorEastAsia"/>
          <w:bCs/>
          <w:color w:val="auto"/>
          <w:szCs w:val="21"/>
          <w:highlight w:val="none"/>
          <w:lang w:val="en-US" w:eastAsia="zh-CN"/>
        </w:rPr>
        <w:t>3</w:t>
      </w:r>
      <w:r>
        <w:rPr>
          <w:rFonts w:hint="eastAsia" w:cs="仿宋_GB2312" w:asciiTheme="minorEastAsia" w:hAnsiTheme="minorEastAsia" w:eastAsiaTheme="minorEastAsia"/>
          <w:bCs/>
          <w:color w:val="auto"/>
          <w:szCs w:val="21"/>
          <w:highlight w:val="none"/>
        </w:rPr>
        <w:t>个月</w:t>
      </w:r>
    </w:p>
    <w:p>
      <w:pPr>
        <w:widowControl/>
        <w:spacing w:line="360" w:lineRule="auto"/>
        <w:ind w:firstLine="420" w:firstLineChars="200"/>
        <w:rPr>
          <w:rFonts w:cs="仿宋_GB2312" w:asciiTheme="minorEastAsia" w:hAnsiTheme="minorEastAsia" w:eastAsiaTheme="minorEastAsia"/>
          <w:bCs/>
          <w:color w:val="auto"/>
          <w:szCs w:val="21"/>
          <w:highlight w:val="none"/>
        </w:rPr>
      </w:pPr>
      <w:r>
        <w:rPr>
          <w:rFonts w:hint="eastAsia" w:cs="仿宋_GB2312" w:asciiTheme="minorEastAsia" w:hAnsiTheme="minorEastAsia" w:eastAsiaTheme="minorEastAsia"/>
          <w:bCs/>
          <w:color w:val="auto"/>
          <w:szCs w:val="21"/>
          <w:highlight w:val="none"/>
        </w:rPr>
        <w:t>维保服务期：项目免费维护1年。</w:t>
      </w:r>
    </w:p>
    <w:p>
      <w:pPr>
        <w:widowControl/>
        <w:spacing w:line="360" w:lineRule="auto"/>
        <w:ind w:firstLine="420" w:firstLineChars="200"/>
        <w:rPr>
          <w:rFonts w:cs="仿宋_GB2312" w:asciiTheme="minorEastAsia" w:hAnsiTheme="minorEastAsia" w:eastAsiaTheme="minorEastAsia"/>
          <w:bCs/>
          <w:color w:val="auto"/>
          <w:szCs w:val="21"/>
          <w:highlight w:val="none"/>
        </w:rPr>
      </w:pPr>
      <w:r>
        <w:rPr>
          <w:rFonts w:hint="eastAsia" w:cs="仿宋_GB2312" w:asciiTheme="minorEastAsia" w:hAnsiTheme="minorEastAsia" w:eastAsiaTheme="minorEastAsia"/>
          <w:bCs/>
          <w:color w:val="auto"/>
          <w:szCs w:val="21"/>
          <w:highlight w:val="none"/>
        </w:rPr>
        <w:t>注意：本次公告属于项目市场调研需求，上述项目概算、预计采购时间只是公告方根据自身计划所作估计，并不代表后续任何实质性承诺；另外，本次项目需求调研，属于公告方对外寻找相关符合要求的供应商进行交流的意向，并不代表公告方对报名供应商的任何承诺，后续公告方将根据自身计划进行项目采购。报名供应商或后续参与交流的供应商并不代表已获得公告方的认可或获得任何参与后续项目投标、合同方面的承诺。本次项目调研公告方将根据报名供应商提交的资料情况，择优选择供应商进行现场或线上交流。</w:t>
      </w:r>
    </w:p>
    <w:p>
      <w:pPr>
        <w:spacing w:line="360" w:lineRule="auto"/>
        <w:rPr>
          <w:rFonts w:ascii="宋体" w:hAnsi="宋体"/>
          <w:b/>
          <w:color w:val="auto"/>
          <w:szCs w:val="21"/>
          <w:highlight w:val="none"/>
        </w:rPr>
      </w:pPr>
      <w:r>
        <w:rPr>
          <w:rFonts w:hint="eastAsia" w:ascii="宋体" w:hAnsi="宋体"/>
          <w:b/>
          <w:color w:val="auto"/>
          <w:szCs w:val="21"/>
          <w:highlight w:val="none"/>
        </w:rPr>
        <w:t>二</w:t>
      </w:r>
      <w:r>
        <w:rPr>
          <w:rFonts w:ascii="宋体" w:hAnsi="宋体"/>
          <w:b/>
          <w:color w:val="auto"/>
          <w:szCs w:val="21"/>
          <w:highlight w:val="none"/>
        </w:rPr>
        <w:t>、</w:t>
      </w:r>
      <w:r>
        <w:rPr>
          <w:rFonts w:hint="eastAsia" w:ascii="宋体" w:hAnsi="宋体"/>
          <w:b/>
          <w:color w:val="auto"/>
          <w:szCs w:val="21"/>
          <w:highlight w:val="none"/>
        </w:rPr>
        <w:t>项目背景</w:t>
      </w:r>
    </w:p>
    <w:p>
      <w:pPr>
        <w:spacing w:line="360" w:lineRule="auto"/>
        <w:ind w:firstLine="420" w:firstLineChars="200"/>
        <w:rPr>
          <w:rFonts w:ascii="宋体" w:hAnsi="宋体" w:cs="宋体"/>
          <w:color w:val="auto"/>
          <w:szCs w:val="21"/>
          <w:highlight w:val="none"/>
        </w:rPr>
      </w:pPr>
      <w:r>
        <w:rPr>
          <w:rFonts w:hint="eastAsia" w:cs="仿宋_GB2312" w:asciiTheme="minorEastAsia" w:hAnsiTheme="minorEastAsia" w:eastAsiaTheme="minorEastAsia"/>
          <w:bCs/>
          <w:szCs w:val="21"/>
          <w:highlight w:val="none"/>
          <w:lang w:val="en-US" w:eastAsia="zh-CN"/>
        </w:rPr>
        <w:t>东莞农村商业银行是一家具有独立法人资格的总行级地方性股份制商业银行，截至2025年12月底共设有39个一级分支机构，414个网点。为了进一步推动公告方性能测试管理工作，现开展性能测试管理平台建设项目，欢迎愿意参加本项</w:t>
      </w:r>
      <w:r>
        <w:rPr>
          <w:rFonts w:hint="eastAsia" w:ascii="宋体" w:hAnsi="宋体"/>
          <w:color w:val="auto"/>
          <w:szCs w:val="21"/>
          <w:highlight w:val="none"/>
        </w:rPr>
        <w:t>目市场调研的潜在供应商（本次项目需求的供应商指产品制造商），提供市场调研资料。</w:t>
      </w:r>
    </w:p>
    <w:p>
      <w:pPr>
        <w:spacing w:line="360" w:lineRule="auto"/>
        <w:rPr>
          <w:rFonts w:ascii="宋体" w:hAnsi="宋体"/>
          <w:b/>
          <w:bCs/>
          <w:color w:val="auto"/>
          <w:szCs w:val="21"/>
          <w:highlight w:val="none"/>
        </w:rPr>
      </w:pPr>
      <w:r>
        <w:rPr>
          <w:rFonts w:hint="eastAsia" w:ascii="宋体" w:hAnsi="宋体"/>
          <w:b/>
          <w:color w:val="auto"/>
          <w:szCs w:val="21"/>
          <w:highlight w:val="none"/>
        </w:rPr>
        <w:t>三</w:t>
      </w:r>
      <w:r>
        <w:rPr>
          <w:rFonts w:ascii="宋体" w:hAnsi="宋体"/>
          <w:b/>
          <w:color w:val="auto"/>
          <w:szCs w:val="21"/>
          <w:highlight w:val="none"/>
        </w:rPr>
        <w:t>、</w:t>
      </w:r>
      <w:r>
        <w:rPr>
          <w:rFonts w:hint="eastAsia" w:ascii="宋体" w:hAnsi="宋体"/>
          <w:b/>
          <w:bCs/>
          <w:color w:val="auto"/>
          <w:szCs w:val="21"/>
          <w:highlight w:val="none"/>
        </w:rPr>
        <w:t>调研内容</w:t>
      </w:r>
    </w:p>
    <w:p>
      <w:pPr>
        <w:spacing w:line="360" w:lineRule="auto"/>
        <w:ind w:firstLine="422" w:firstLineChars="200"/>
        <w:rPr>
          <w:rFonts w:hint="eastAsia" w:cs="楷体_GB2312" w:asciiTheme="minorEastAsia" w:hAnsiTheme="minorEastAsia" w:eastAsiaTheme="minorEastAsia"/>
          <w:b/>
          <w:bCs/>
          <w:color w:val="auto"/>
          <w:kern w:val="28"/>
          <w:szCs w:val="21"/>
          <w:highlight w:val="none"/>
        </w:rPr>
      </w:pPr>
      <w:r>
        <w:rPr>
          <w:rFonts w:hint="eastAsia" w:cs="楷体_GB2312" w:asciiTheme="minorEastAsia" w:hAnsiTheme="minorEastAsia" w:eastAsiaTheme="minorEastAsia"/>
          <w:b/>
          <w:bCs/>
          <w:color w:val="auto"/>
          <w:kern w:val="28"/>
          <w:szCs w:val="21"/>
          <w:highlight w:val="none"/>
        </w:rPr>
        <w:t>（一）</w:t>
      </w:r>
      <w:r>
        <w:rPr>
          <w:rFonts w:hint="eastAsia" w:cs="楷体_GB2312" w:asciiTheme="minorEastAsia" w:hAnsiTheme="minorEastAsia" w:eastAsiaTheme="minorEastAsia"/>
          <w:b/>
          <w:bCs/>
          <w:color w:val="auto"/>
          <w:kern w:val="28"/>
          <w:szCs w:val="21"/>
          <w:highlight w:val="none"/>
          <w:lang w:val="en-US" w:eastAsia="zh-CN"/>
        </w:rPr>
        <w:t>基本功能</w:t>
      </w:r>
      <w:r>
        <w:rPr>
          <w:rFonts w:hint="eastAsia" w:cs="楷体_GB2312" w:asciiTheme="minorEastAsia" w:hAnsiTheme="minorEastAsia" w:eastAsiaTheme="minorEastAsia"/>
          <w:b/>
          <w:bCs/>
          <w:color w:val="auto"/>
          <w:kern w:val="28"/>
          <w:szCs w:val="21"/>
          <w:highlight w:val="none"/>
        </w:rPr>
        <w:t>需求</w:t>
      </w:r>
    </w:p>
    <w:tbl>
      <w:tblPr>
        <w:tblStyle w:val="6"/>
        <w:tblpPr w:leftFromText="180" w:rightFromText="180" w:vertAnchor="text" w:horzAnchor="page" w:tblpX="1788" w:tblpY="464"/>
        <w:tblOverlap w:val="never"/>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1"/>
        <w:gridCol w:w="825"/>
        <w:gridCol w:w="1028"/>
        <w:gridCol w:w="58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0" w:hRule="atLeast"/>
        </w:trPr>
        <w:tc>
          <w:tcPr>
            <w:tcW w:w="781"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825"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需求类别</w:t>
            </w:r>
          </w:p>
        </w:tc>
        <w:tc>
          <w:tcPr>
            <w:tcW w:w="1028"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子项</w:t>
            </w:r>
          </w:p>
        </w:tc>
        <w:tc>
          <w:tcPr>
            <w:tcW w:w="5885"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需求描述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w:t>
            </w:r>
          </w:p>
        </w:tc>
        <w:tc>
          <w:tcPr>
            <w:tcW w:w="825"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首页</w:t>
            </w: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首页</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支持切换当前测试项目、查看平台帮助文档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支持修改密码、退出登录操作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81"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w:t>
            </w:r>
          </w:p>
        </w:tc>
        <w:tc>
          <w:tcPr>
            <w:tcW w:w="825"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工作台</w:t>
            </w: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概览</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支持统计数据展示（测试任务、脚本、场景、执行记录、结果）、我的项目、操作记录、统计图展示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支持对当前人员在当前项目最近操作数据快速操作（测试脚本、测试场景、执行记录、测试结果）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测试管理</w:t>
            </w: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任务报告</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支持测试报告的生成、编辑、基础数据设置、删除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支持按名称、类型、所属任务、创建人、报告状态进行筛选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任务管理</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支持测试任务的新建、修改、删除、查询、筛选，支持任务关联管理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支持查看报告、下载报告、分配项目及负责人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测试任务</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支持展示项目全部测试任务，支持查看和修改任务信息、关联场景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支持报告提交审核、生成报告、查看已生成报告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脚本库</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支持脚本库的筛选、批量导入导出、删除，支持查看导出历史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问题统计</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支持问题统计数据的展示与分析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问题跟踪</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支持问题的新建、修改、删除、筛选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支持将问题提交至知识库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项目管理文档</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支持管理文档目录的新建、删除、筛选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支持文档的上传、下载、删除、查询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30" w:hRule="atLeast"/>
        </w:trPr>
        <w:tc>
          <w:tcPr>
            <w:tcW w:w="781"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w:t>
            </w:r>
          </w:p>
        </w:tc>
        <w:tc>
          <w:tcPr>
            <w:tcW w:w="825"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性能测试</w:t>
            </w: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测试脚本管理</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支持测试脚本的新建、修改、删除、复制、查询、筛选、批量操作、导入导出、标签管理、环境标识管理（支持主流协议脚本，如HTTP/HTTPS、TCP、JDBC、Dubbo、MQ等）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支持测试计划配置，包括线程/并发组设置（普通、初始化/清理、阶梯式、自定义等）、用户变量定义、外部依赖包管理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支持多种请求/取样类型（HTTP、TCP、JDBC、Dubbo、JSR223、BeanShell、Java等）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支持逻辑控制（事务、吞吐量、Switch、循环、条件控制等）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支持定时器（固定、JSR223/BeanShell、恒定吞吐量、同步集合点）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支持前置处理（JSR223、BeanShell、JDBC等）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支持后置处理（JSON/正则/XPath/边界提取、JSR223、BeanShell、JDBC等）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支持断言（JSON、响应、JSR223、大小、XPath2、BeanShell等）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支持测试片段模块化、脚本调试运行、结果查看、版本管理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支持基于通用编程语言（如Java/Python）开发测试脚本，支持多种协议扩展，支持脚本编辑、格式化、编译、运行、停止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支持参数配置、录制功能、版本管理、子模块管理、资源文件管理、第三方库管理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场景编排</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支持测试场景编排任务的新建、修改、删除、查询、筛选，支持编排多个测试场景的运行逻辑与顺序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支持场景编排任务配置（运行日志名称、运行时间、异常处理策略），支持定时执行和日历视图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支持场景编排任务执行控制（运行、停止、查看历史日志）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执行记录</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支持执行记录的查询、筛选、删除、批量操作，支持为记录添加标签、描述、标记免清理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报告管理</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支持测试报告的新增、修改、删除、查看详情、提交审批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支持按方案类型自动生成报告，支持数据呈现调整与报告导出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方案管理</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支持测试方案的新建、编辑、删除、查看详情、提交审批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支持基于模板创建方案，支持配置测试目标、范围、环境、步骤、指标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测试场景</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支持测试场景的新建、修改、删除、复制、查询、筛选，支持场景类型、可用性、测试类型、标签、环境标识管理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支持测试场景配置（关联脚本、监控设置、运行时设置如迭代/步长/日志、压力机分配、目标设置），兼容不同脚本类型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支持测试场景运行控制（启动、停止、强制停止、运行时动态调整并发数）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支持测试场景实时监控（业务指标：TPS/响应时间/并发数，资源指标：CPU/内存/磁盘/网络，智能分析：链路分析/慢SQL/性能分析，运行日志），支持自定义监控指标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测试结果</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支持测试结果的查询、筛选、删除、批量操作，支持设置最终结果、生成测试报告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支持结果对比、趋势分析、详情查看、数据导出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测试进度</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支持查看测试进度统计、任务执行状态、进度趋势分析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性能测试分析及优化建议</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支持对测试结果进行多维度的性能分析（如响应时间分布、吞吐量瓶颈、资源利用率拐点、事务成功率等）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支持自动/半自动生成性能优化建议，包括代码层面、配置层面、架构层面、资源扩容等方向的建议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支持历史测试数据的对比分析，识别性能退化趋势，辅助定位版本变更引入的性能问题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781"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支持按不同角色（开发、运维、测试经理）呈现差异化分析视图，支持分析报告导出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4</w:t>
            </w:r>
          </w:p>
        </w:tc>
        <w:tc>
          <w:tcPr>
            <w:tcW w:w="825"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性能监控</w:t>
            </w: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中间件监控</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支持主流中间件（如ES、Tomcat、WebLogic、Kafka、IBM MQ、宝兰德BES、宝兰德BWS、RocketMQ、宝兰德CacheServer等）监控数据采集、展示、告警配置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指标设置</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支持监控图表的新建、修改、删除、初始化，支持开启/关闭图表展示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支持监控指标项的新增、删除、修改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数据库监控</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支持主流数据库监控数据采集、展示、告警配置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监控设置</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支持探针（VM、SNMP、SYSTEM、DOCKER等）一键安装/重启，支持SSH连接测试、探针配置修改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系统监控</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支持操作系统级别监控数据采集、展示、告警配置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5</w:t>
            </w:r>
          </w:p>
        </w:tc>
        <w:tc>
          <w:tcPr>
            <w:tcW w:w="825"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资源文件</w:t>
            </w: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全局参数</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支持全局参数的新建、修改、删除、筛选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参数文件</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支持参数文件目录的新建、删除、筛选、排序，支持关联脚本数据查询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支持文件上传、下载、删除、查询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第三方库</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支持第三方库目录的新建、删除、筛选，支持关联脚本数据查询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支持库文件（如JAR）上传、下载、删除、查询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自定义脚本</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支持自定义脚本（辅助函数、扩展逻辑）的管理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781"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6</w:t>
            </w:r>
          </w:p>
        </w:tc>
        <w:tc>
          <w:tcPr>
            <w:tcW w:w="825"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平台管理</w:t>
            </w: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压力机服务</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支持压力机服务的清理、日志清理、探针状态测试，支持查询服务状态、修改最大启动引擎数、强制清理异常服务，支持主流的性能测试工具（如jmeter、loadrunner）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平台监控</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支持展示平台纳管的服务器资源、应用状态、告警信息等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服务器管理</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支持压力机服务器的新建、修改、删除、查询、筛选，支持探针测试、SSH连接、时间同步、批量导入导出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支持自动安装/重启代理、分配压力机到项目、从项目移除压力机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7</w:t>
            </w:r>
          </w:p>
        </w:tc>
        <w:tc>
          <w:tcPr>
            <w:tcW w:w="825"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测试环境</w:t>
            </w: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被测服务器</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支持被测服务器的新建、修改、删除、查询、筛选，支持SSH连接测试，批量导入导出服务器信息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支持监控分组的新建、修改、删除、排序，支持分组下关联/移除被测服务器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被测服务器分配</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支持分配被测服务器到项目，支持关联其他项目服务器，支持从项目移除已关联服务器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trPr>
        <w:tc>
          <w:tcPr>
            <w:tcW w:w="781" w:type="dxa"/>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8</w:t>
            </w:r>
          </w:p>
        </w:tc>
        <w:tc>
          <w:tcPr>
            <w:tcW w:w="825" w:type="dxa"/>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测试数据</w:t>
            </w: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数据池与数据生成</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提供统一的数据池管理，支持基础数据准备、预埋数据生成及压测参数化数据的自动化供给；支持按数据特征（如账户余额区间、卡类型等）筛选和批量生成数据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9</w:t>
            </w:r>
          </w:p>
        </w:tc>
        <w:tc>
          <w:tcPr>
            <w:tcW w:w="825"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知识中心</w:t>
            </w: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知识审核</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支持知识条目的筛选、新建、编辑、删除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支持审核通过/拒绝知识条目加入知识库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知识库</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支持知识库分类管理、条目查看、筛选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81"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10</w:t>
            </w:r>
          </w:p>
        </w:tc>
        <w:tc>
          <w:tcPr>
            <w:tcW w:w="825"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报表功能</w:t>
            </w:r>
          </w:p>
        </w:tc>
        <w:tc>
          <w:tcPr>
            <w:tcW w:w="1028"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报表中心</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支持按项目、时间、测试类型、场景等多维度组合生成各类性能测试报表（如日报、周报、里程碑报告、结项报告）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支持报表模板的自定义配置（指标选取、图表类型、排版布局），支持复用已有模板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支持报表的自动定时生成与邮件/站内信推送，支持订阅管理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支持报表的在线预览、导出（PDF/Word/Excel/HTML等格式）、分享与归档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支持报表数据与历史基线对比，自动标注异常波动或超阈值项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11</w:t>
            </w:r>
          </w:p>
        </w:tc>
        <w:tc>
          <w:tcPr>
            <w:tcW w:w="825" w:type="dxa"/>
            <w:vMerge w:val="restart"/>
            <w:tcBorders>
              <w:top w:val="single" w:color="000000" w:sz="4" w:space="0"/>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后台管理</w:t>
            </w: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人员管理</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支持人员组织架构（分组/机构）的新建、修改、删除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支持测试人员的新建、修改、删除、重置密码、批量导入导出、筛选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操作日志</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支持操作日志的查询与审计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菜单权限</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支持平台接口/功能权限的新建、修改、删除、导入、导出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菜单管理</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支持菜单的新建、修改、删除、排序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支持将功能菜单添加到主菜单下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角色权限</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支持角色的新增、删除、修改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支持菜单权限的分配与移除，支持角色分类管理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配置管理</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支持平台基础参数、字典值的维护管理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支持数据存储节点（如ES）的新建、修改、删除、存储节点设置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支持定时任务的频率修改、重新执行、删除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nil"/>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支持首页内容配置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nil"/>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项目管理</w:t>
            </w: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支持测试部门的新建、修改、删除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支持项目的新建、删除、排序、关联测试人员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781"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支持部门与项目的筛选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78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其他</w:t>
            </w:r>
          </w:p>
        </w:tc>
        <w:tc>
          <w:tcPr>
            <w:tcW w:w="10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r>
    </w:tbl>
    <w:p>
      <w:pPr>
        <w:numPr>
          <w:ilvl w:val="0"/>
          <w:numId w:val="1"/>
        </w:numPr>
        <w:spacing w:line="360" w:lineRule="auto"/>
        <w:ind w:firstLine="422" w:firstLineChars="200"/>
        <w:rPr>
          <w:rFonts w:hint="eastAsia" w:cs="楷体_GB2312" w:asciiTheme="minorEastAsia" w:hAnsiTheme="minorEastAsia" w:eastAsiaTheme="minorEastAsia"/>
          <w:b/>
          <w:bCs/>
          <w:color w:val="auto"/>
          <w:kern w:val="28"/>
          <w:szCs w:val="21"/>
          <w:highlight w:val="none"/>
        </w:rPr>
      </w:pPr>
      <w:r>
        <w:rPr>
          <w:rFonts w:hint="eastAsia" w:cs="楷体_GB2312" w:asciiTheme="minorEastAsia" w:hAnsiTheme="minorEastAsia" w:eastAsiaTheme="minorEastAsia"/>
          <w:b/>
          <w:bCs/>
          <w:color w:val="auto"/>
          <w:kern w:val="28"/>
          <w:szCs w:val="21"/>
          <w:highlight w:val="none"/>
          <w:lang w:val="en-US" w:eastAsia="zh-CN"/>
        </w:rPr>
        <w:t>基本非功能</w:t>
      </w:r>
      <w:r>
        <w:rPr>
          <w:rFonts w:hint="eastAsia" w:cs="楷体_GB2312" w:asciiTheme="minorEastAsia" w:hAnsiTheme="minorEastAsia" w:eastAsiaTheme="minorEastAsia"/>
          <w:b/>
          <w:bCs/>
          <w:color w:val="auto"/>
          <w:kern w:val="28"/>
          <w:szCs w:val="21"/>
          <w:highlight w:val="none"/>
        </w:rPr>
        <w:t>需求</w:t>
      </w:r>
    </w:p>
    <w:tbl>
      <w:tblPr>
        <w:tblStyle w:val="6"/>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646"/>
        <w:gridCol w:w="646"/>
        <w:gridCol w:w="932"/>
        <w:gridCol w:w="5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46"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646"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分类</w:t>
            </w:r>
          </w:p>
        </w:tc>
        <w:tc>
          <w:tcPr>
            <w:tcW w:w="646"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子序号</w:t>
            </w:r>
          </w:p>
        </w:tc>
        <w:tc>
          <w:tcPr>
            <w:tcW w:w="932"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条款项</w:t>
            </w:r>
          </w:p>
        </w:tc>
        <w:tc>
          <w:tcPr>
            <w:tcW w:w="5649"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内容描述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w:t>
            </w:r>
          </w:p>
        </w:tc>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应用架构要求</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1.1</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总体要求</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系统应采用前后端分离的分布式架构，明确划分为客户端（交互层）、服务端（业务与管控层）、执行端（负载生成与调度层）三大核心部分；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各组成部分应职责清晰、服务解耦，通过标准API进行通信，共同完成从测试资源准备、任务调度、执行监控到结果分析的全生命周期管理。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1.2</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应用分层</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系统应采用分层架构设计，至少包含接入层、网关路由层、业务服务层、数据访问层及基础设施层；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各层之间通过标准、安全的网络协议通信，确保技术组件的可替换性与架构的开放性。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1.3</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应用集成</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系统应具备与异步通信组件、高速数据缓存组件、海量数据检索引擎的集成能力，以满足非阻塞处理、高并发数据读写与日志快速检索需求；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系统应支持与业界主流可观测性平台集成，实现全链路调用链跟踪与基础设施资源监控；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 所有集成都应遵循标准接口协议，并通过功能与性能验证。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1.4</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参数配置</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系统应具备统一的配置管理中心，实现对环境变量、服务参数、业务规则的集中存储与分发；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应提供友好的配置管理界面，支持关键业务参数的动态调整，并确保配置变更实时生效且不影响业务连续性。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1.5</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调度与批处理</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系统应内置强大的任务调度引擎，支持定时、周期、依赖等多种任务触发策略，并兼容标准的时间表达式（如类Cron语法）；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批处理任务应支持并发执行，并提供任务执行状态的实时监控、历史查询与异常告警功能。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w:t>
            </w:r>
          </w:p>
        </w:tc>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数据架构要求</w:t>
            </w: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2.1</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数据贯标</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数据模型设计应遵循行内数据治理标准，统一表名、字段名、数据字典及注释规范，确保数据资产的标准化与可维护性。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2.2</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数据集成</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系统应支持在分布式架构下对多种数据源进行适配与集成；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监控指标类时序数据应使用时序数据库存储；业务与管理数据应优先支持国产数据库（如：OB、GaussDB、PGSQL），同时兼容MySQL；大规模日志数据应使用分布式检索引擎存储；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 数据源配置应灵活、安全，并提供完善的数据源切换与兼容性测试方案。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2.3</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数据迁移</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应提供完备的数据迁移方案和工具，支持将历史数据、配置数据按目标数据模型平滑迁移至新系统，并确保数据的一致性与完整性。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w:t>
            </w:r>
          </w:p>
        </w:tc>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技术架构要求</w:t>
            </w: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3.1</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开发工具合规性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使用的开发工具、组件库必须为开源合规或已获授权的商业软件，不存在版权争议，并符合我行信息安全与软件资产管理规范。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3.2</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开发工具易用性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开发工具应具备完善的集成开发环境，提供代码辅助、调试、版本控制及插件扩展能力，以提升开发效率；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应保证开发团队能在短期内熟练掌握并高效运用。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3.3</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DevOps支持</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系统需提供标准化的CI/CD接入方案，支持代码构建、自动化测试、制品管理、多环境发布等全流程自动化；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必须提供详细的流水线配置说明文档。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3.4</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后端开发框架</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后端应基于成熟、主流的开发框架，具备模块化、高扩展性、高稳定性和良好的生态支持。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3.5</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前端开发框架</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前端应采用先进的组件化框架，具备响应式设计能力；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界面应自适应主流分辨率，确保不同终端下的良好用户体验。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3.6</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持久化框架</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应整合业界广泛使用的数据持久化框架，实现对象与关系数据库的便捷映射，简化数据访问操作；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所有SQL语句应遵循开发规范，避免全表扫描，并需通过代码审查确认。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3.7</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连接池框架</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应采用高性能、稳定的数据库连接池技术；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连接池的关键参数（如最大、最小连接数，超时时间等）必须根据业务压测结果进行调优并固化配置。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3.8</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服务可用性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系统必须支持多节点集群部署，具备故障自动检测、隔离和恢复能力；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系统可用性应达到行内规定的SLA标准（如99.99%），单点故障应能在指定时间内自动恢复。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3.9</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部署架构</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采用分布式微服务架构，每个核心业务微服务均应支持多实例部署，并满足金融行业对系统高可用性的要求。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3.1</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开源要求</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使用到的所有开源组件，必须通过行内开源软件合规审查，确保无GPL、AGPL等传染性开源协议风险。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4</w:t>
            </w:r>
          </w:p>
        </w:tc>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技术选型</w:t>
            </w: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4.1</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服务器</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提供基于Linux系统的服务器部署方案，并明确生产与测试环境的最低资源配置建议。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4.2</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中间件</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使用的所有中间件必须经过行内技术评审，确保其稳定性、安全性及官方长期支持（LTS）。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4.3</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操作系统</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系统应完全兼容银河麒麟V10、统信UOS V20、红旗等国产操作系统，并提供相应适配证明。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4.4</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数据库</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系统应优先支持国产数据库（OB、GaussDB、PGSQL），并提供完整的兼容性测试报告；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在国产数据库之上可兼容MySQL。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4.5</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终端</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本条款不涉及终端要求。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5</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测试</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5.1</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单元测试框架</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应使用标准的单元测试框架；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核心业务模块的单元测试行覆盖率应不低于80%，并通过质量门禁检查。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6</w:t>
            </w:r>
          </w:p>
        </w:tc>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运维要求</w:t>
            </w: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6.1</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服务健康监控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系统应提供标准化的健康检查接口，并能集成到行内统一监控平台，实现对系统级（CPU、内存、磁盘、网络）和应用级（响应时间、错误率、吞吐量）的实时监控与告警。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6.2</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日志内容要求</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日志系统应支持文件、控制台等多种输出方式；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日志级别应支持动态调整，关键业务操作的日志必须完整、可审计，包含操作人、时间、对象、结果等信息。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6.3</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安全性要求</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实现强身份认证机制：用户口令存储须使用加盐哈希加密，前端输入口令须以密文（掩码）形式显示；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登录失败应返回通用模糊提示，口令安全策略须符合行内规范（如最小长度8位，必须包含大小写字母、数字、特殊字符四类）；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 系统必须实现基于项目/租户的数据隔离，确保不同法人或项目组的测试数据严格分离。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6.4</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数据库规范性要求</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数据库命名须严格遵循行内规范，所有表和字段均需有清晰的中英文注释；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主键设计应合理，索引策略需覆盖高频查询场景，事务隔离级别和SQL分页需优化以避免性能瓶颈。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7</w:t>
            </w:r>
          </w:p>
        </w:tc>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应用安全</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7.1</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通信安全</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系统通信应默认使用HTTPS协议（或行内指定的安全协议）；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用户会话超时时间应根据安全策略设定（建议不超过20分钟）；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 所有服务间调用及客户端请求均需通过基于令牌（Token）或行内统一认证体系的身份校验。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7.2</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权限控制</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实现基于角色（RBAC）的细粒度权限控制，确保不同角色的用户仅能访问授权的功能模块与数据。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7.3</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敏感信息-传输</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密码、密钥等敏感数据在网络传输过程中必须使用强加密算法进行加密，严禁明文传输。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7.4</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敏感信息-存储</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对密码、鉴权密钥等敏感信息，必须采用密文方式存储。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7.5</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敏感信息-展示</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系统界面不得以任何形式明文显示密码、密钥等敏感信息；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接口返回数据中应自动过滤或脱敏敏感字段。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8</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网络安全</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8.1</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传输安全</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同7.1条款，确保网络传输层使用安全协议，并符合行内网络安全标准；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会话超时策略同7.1；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 接口交互均需通过安全令牌进行校验。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9</w:t>
            </w: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数字证书与授权</w:t>
            </w: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9.1</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数字证书与授权</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系统应支持基于License或数字证书的授权管理机制，以符合行内软件资产管理的合规要求。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10</w:t>
            </w:r>
          </w:p>
        </w:tc>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可靠性</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10.1</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易修改性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代码需高内聚低耦合，业务逻辑、配置、数据访问分离，确保功能修改或新增时影响范围可控；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遵循微服务设计原则，服务间的依赖关系应清晰，确保单个服务的升级不波及全局。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10.2</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可观测性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系统需通过标准接口暴露运行指标（如响应时间、吞吐量、错误率等），并支持接入调用链追踪系统，便于故障定位和性能诊断。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10.3</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可扩展性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系统支持横向扩展，关键服务需支持多活部署；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系统结构应模块化，支持在不影响核心业务的前提下快速接入新协议、新功能或第三方组件。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11</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可移植性</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11.1</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适应性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系统应具备跨平台支持能力，可部署于主流操作系统环境；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必须在行内指定的信创操作系统和芯片架构上完成兼容性测试。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12</w:t>
            </w:r>
          </w:p>
        </w:tc>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性能容量</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12.1</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时间性能</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系统架构支持集群横向扩展以应对性能提升需求；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必须通过缓存策略、数据库索引优化、读写分离等技术手段来保障高并发下的低延迟响应。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12.2</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容量性能</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系统支持动态弹性扩缩容；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在资源扩展的情况下，系统处理能力应能线性增长，满足未来3-5年业务增长带来的容量需求。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12.3</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交易性能</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核心交易接口的平均响应时间、TP99等指标需满足业务SLA要求；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在峰值并发压力下，系统事务成功率应不低于99.99%，并保证数据最终一致性。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12.4</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隔离性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各微服务之间应实现资源隔离与故障隔离；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单个业务模块的高负载或异常不应影响其他业务模块的可用性。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13</w:t>
            </w:r>
          </w:p>
        </w:tc>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兼容性</w:t>
            </w: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13.1</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操作系统兼容性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系统须兼容银河麒麟、统信UOS、CentOS、红旗等主流国产与开源操作系统。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13.2</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浏览器兼容性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系统兼容Chrome 60+、统信UOS浏览器、奇安信可信浏览器、360极速版、Microsoft Edge 100+等主流浏览器，并保证功能与体验一致。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13.3</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通信模式</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平台应支持HTTP/HTTPS、TCP Socket、SOAP、WebSocket、Tuxedo、IBM MQ等金融行业标准或常用通讯协议；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支持IS08583等自定义报文格式，并提供二次开发接口（SDK/API）以便于扩展新协议；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 需提供所有宣称支持协议的测试通过报告。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13.4</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生僻字支持</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系统字符集应使用UTF-8或更高编码，确保生僻字、多语言字符及特殊符号在录入、存储、展示全流程中无乱码、无失真。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14</w:t>
            </w:r>
          </w:p>
        </w:tc>
        <w:tc>
          <w:tcPr>
            <w:tcW w:w="646" w:type="dxa"/>
            <w:vMerge w:val="restart"/>
            <w:tcBorders>
              <w:top w:val="single" w:color="000000" w:sz="4" w:space="0"/>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易用性</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14.1</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可辨识性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平台提供统一的B/S架构图形化操作界面；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功能菜单层级清晰，导航合理，关键资源（测试脚本、数据、报告）支持多维度分类和快速检索。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14.2</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易操作性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基于Web的在线编辑功能，无需额外安装插件；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支持测试资产（如脚本、数据集）的版本管理与复用，减少重复工作。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14.3</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用户差错防御性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系统应提供健全的前端校验和流程引导，对不合规输入、危险操作进行实时提示或二次确认，防止误操作。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14.4</w:t>
            </w: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易学性</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系统交互逻辑应贴近行业主流性能测试工具，并提供符合银行场景的操作白皮书、视频教程及快速入门指南。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15</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基础平台集成</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15.1</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基础平台集成</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系统需无缝对接行内测试管控平台（如DevOps、项目管理、自动化测试框架等），支持测试任务的触发与结果回传；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支持与行内统一用户认证系统（如SSO）集成，实现单点登录；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(3) 平台自身需支持信创环境部署（压力机及采集器除外，但需明确说明），并符合行内信创验收标准。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16</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多法人支持</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16.1</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多法人支持</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系统原生支持多租户模式，能够在一个平台实例上创建多个逻辑隔离的项目（法人/部门）；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各租户间的数据、配置和资源必须实现强隔离，保障数据私密性。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17</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知识产权</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17.1</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知识产权</w:t>
            </w: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 平台需具备完全自主知识产权，核心代码自主可控，并承诺交付时提供相关知识产权证明；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(2) 需支持我行在平台基础上进行定制化开发，并开放必要的接口与文档。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rPr>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18</w:t>
            </w: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r>
              <w:rPr>
                <w:rFonts w:hint="eastAsia" w:ascii="宋体" w:hAnsi="宋体" w:eastAsia="宋体" w:cs="宋体"/>
                <w:i w:val="0"/>
                <w:iCs w:val="0"/>
                <w:color w:val="404040"/>
                <w:kern w:val="0"/>
                <w:sz w:val="21"/>
                <w:szCs w:val="21"/>
                <w:u w:val="none"/>
                <w:lang w:val="en-US" w:eastAsia="zh-CN" w:bidi="ar"/>
              </w:rPr>
              <w:t>其他</w:t>
            </w:r>
          </w:p>
        </w:tc>
        <w:tc>
          <w:tcPr>
            <w:tcW w:w="6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9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c>
          <w:tcPr>
            <w:tcW w:w="56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404040"/>
                <w:kern w:val="0"/>
                <w:sz w:val="21"/>
                <w:szCs w:val="21"/>
                <w:u w:val="none"/>
                <w:lang w:val="en-US" w:eastAsia="zh-CN" w:bidi="ar"/>
              </w:rPr>
            </w:pPr>
          </w:p>
        </w:tc>
      </w:tr>
    </w:tbl>
    <w:p>
      <w:pPr>
        <w:pStyle w:val="2"/>
        <w:numPr>
          <w:ilvl w:val="0"/>
          <w:numId w:val="0"/>
        </w:numPr>
        <w:rPr>
          <w:rFonts w:hint="eastAsia"/>
        </w:rPr>
      </w:pPr>
    </w:p>
    <w:p>
      <w:pPr>
        <w:spacing w:line="360" w:lineRule="auto"/>
        <w:rPr>
          <w:rFonts w:ascii="宋体" w:hAnsi="宋体" w:cs="宋体"/>
          <w:b/>
          <w:bCs/>
          <w:color w:val="auto"/>
          <w:szCs w:val="21"/>
          <w:highlight w:val="none"/>
        </w:rPr>
      </w:pPr>
      <w:r>
        <w:rPr>
          <w:rFonts w:hint="eastAsia" w:ascii="宋体" w:hAnsi="宋体"/>
          <w:b/>
          <w:bCs/>
          <w:color w:val="auto"/>
          <w:szCs w:val="21"/>
          <w:highlight w:val="none"/>
        </w:rPr>
        <w:t>四、</w:t>
      </w:r>
      <w:r>
        <w:rPr>
          <w:rFonts w:hint="eastAsia" w:ascii="宋体" w:hAnsi="宋体" w:cs="宋体"/>
          <w:b/>
          <w:bCs/>
          <w:color w:val="auto"/>
          <w:szCs w:val="21"/>
          <w:highlight w:val="none"/>
        </w:rPr>
        <w:t>项目总体服务要求</w:t>
      </w:r>
    </w:p>
    <w:p>
      <w:pPr>
        <w:spacing w:line="360" w:lineRule="auto"/>
        <w:ind w:firstLine="422" w:firstLineChars="200"/>
        <w:rPr>
          <w:rFonts w:cs="楷体_GB2312" w:asciiTheme="minorEastAsia" w:hAnsiTheme="minorEastAsia" w:eastAsiaTheme="minorEastAsia"/>
          <w:b/>
          <w:bCs/>
          <w:color w:val="auto"/>
          <w:kern w:val="28"/>
          <w:szCs w:val="21"/>
          <w:highlight w:val="none"/>
        </w:rPr>
      </w:pPr>
      <w:r>
        <w:rPr>
          <w:rFonts w:hint="eastAsia" w:cs="楷体_GB2312" w:asciiTheme="minorEastAsia" w:hAnsiTheme="minorEastAsia" w:eastAsiaTheme="minorEastAsia"/>
          <w:b/>
          <w:bCs/>
          <w:color w:val="auto"/>
          <w:kern w:val="28"/>
          <w:szCs w:val="21"/>
          <w:highlight w:val="none"/>
        </w:rPr>
        <w:t>（一）维保服务期</w:t>
      </w:r>
    </w:p>
    <w:p>
      <w:p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项目免费维护期1年，免费维护期自项目终验之日起1年。</w:t>
      </w:r>
    </w:p>
    <w:p>
      <w:pPr>
        <w:spacing w:line="360" w:lineRule="auto"/>
        <w:ind w:firstLine="422" w:firstLineChars="200"/>
        <w:rPr>
          <w:rFonts w:cs="楷体_GB2312" w:asciiTheme="minorEastAsia" w:hAnsiTheme="minorEastAsia" w:eastAsiaTheme="minorEastAsia"/>
          <w:b/>
          <w:bCs/>
          <w:color w:val="auto"/>
          <w:kern w:val="28"/>
          <w:szCs w:val="21"/>
          <w:highlight w:val="none"/>
        </w:rPr>
      </w:pPr>
      <w:r>
        <w:rPr>
          <w:rFonts w:hint="eastAsia" w:cs="楷体_GB2312" w:asciiTheme="minorEastAsia" w:hAnsiTheme="minorEastAsia" w:eastAsiaTheme="minorEastAsia"/>
          <w:b/>
          <w:bCs/>
          <w:color w:val="auto"/>
          <w:kern w:val="28"/>
          <w:szCs w:val="21"/>
          <w:highlight w:val="none"/>
        </w:rPr>
        <w:t>（二）服务说明</w:t>
      </w:r>
    </w:p>
    <w:p>
      <w:p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所有服务内容必须由原厂提供，供应商不得将本项目的全部或部分转包给第三方。</w:t>
      </w:r>
    </w:p>
    <w:p>
      <w:pPr>
        <w:spacing w:line="360" w:lineRule="auto"/>
        <w:ind w:firstLine="422" w:firstLineChars="200"/>
        <w:rPr>
          <w:rFonts w:cs="楷体_GB2312" w:asciiTheme="minorEastAsia" w:hAnsiTheme="minorEastAsia" w:eastAsiaTheme="minorEastAsia"/>
          <w:b/>
          <w:bCs/>
          <w:color w:val="auto"/>
          <w:kern w:val="28"/>
          <w:szCs w:val="21"/>
          <w:highlight w:val="none"/>
        </w:rPr>
      </w:pPr>
      <w:r>
        <w:rPr>
          <w:rFonts w:hint="eastAsia" w:cs="楷体_GB2312" w:asciiTheme="minorEastAsia" w:hAnsiTheme="minorEastAsia" w:eastAsiaTheme="minorEastAsia"/>
          <w:b/>
          <w:bCs/>
          <w:color w:val="auto"/>
          <w:kern w:val="28"/>
          <w:szCs w:val="21"/>
          <w:highlight w:val="none"/>
        </w:rPr>
        <w:t>（三）服务内容</w:t>
      </w:r>
    </w:p>
    <w:p>
      <w:pPr>
        <w:numPr>
          <w:ilvl w:val="0"/>
          <w:numId w:val="2"/>
        </w:num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安装与实施服务。供应商按照公告方项目需求进行项目实施工作，包括但不限于需求分析、系统设计、开发、测试、上线、培训等，满足公告方对项目上线运行的要求。</w:t>
      </w:r>
    </w:p>
    <w:p>
      <w:pPr>
        <w:numPr>
          <w:ilvl w:val="0"/>
          <w:numId w:val="2"/>
        </w:num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常规维保服务。包括保障软件正常运行、保障公告方业务稳定的所有服务。</w:t>
      </w:r>
    </w:p>
    <w:p>
      <w:pPr>
        <w:numPr>
          <w:ilvl w:val="0"/>
          <w:numId w:val="2"/>
        </w:num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巡检服务。提供每年</w:t>
      </w:r>
      <w:r>
        <w:rPr>
          <w:rFonts w:hint="eastAsia" w:cs="仿宋_GB2312" w:asciiTheme="minorEastAsia" w:hAnsiTheme="minorEastAsia" w:eastAsiaTheme="minorEastAsia"/>
          <w:color w:val="auto"/>
          <w:szCs w:val="21"/>
          <w:highlight w:val="none"/>
          <w:lang w:val="en-US" w:eastAsia="zh-CN"/>
        </w:rPr>
        <w:t>不少于</w:t>
      </w:r>
      <w:r>
        <w:rPr>
          <w:rFonts w:hint="eastAsia" w:cs="仿宋_GB2312" w:asciiTheme="minorEastAsia" w:hAnsiTheme="minorEastAsia" w:eastAsiaTheme="minorEastAsia"/>
          <w:color w:val="auto"/>
          <w:szCs w:val="21"/>
          <w:highlight w:val="none"/>
        </w:rPr>
        <w:t>4次现场巡检服务，具体巡检时间由公告方确定。巡检须派经验丰富的原厂工程师进行预防性检查维护，对配置进行检查，分析系统告警信息并提出整改方案，按公告方要求出具巡检报告、整改方案等文档并负责整改实施。</w:t>
      </w:r>
    </w:p>
    <w:p>
      <w:pPr>
        <w:numPr>
          <w:ilvl w:val="0"/>
          <w:numId w:val="2"/>
        </w:num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升级服务。针对产品缺陷</w:t>
      </w:r>
      <w:r>
        <w:rPr>
          <w:rFonts w:hint="eastAsia" w:cs="仿宋_GB2312" w:asciiTheme="minorEastAsia" w:hAnsiTheme="minorEastAsia" w:eastAsiaTheme="minorEastAsia"/>
          <w:color w:val="auto"/>
          <w:szCs w:val="21"/>
          <w:highlight w:val="none"/>
          <w:lang w:val="en-US" w:eastAsia="zh-CN"/>
        </w:rPr>
        <w:t>和安全漏洞</w:t>
      </w:r>
      <w:r>
        <w:rPr>
          <w:rFonts w:hint="eastAsia" w:cs="仿宋_GB2312" w:asciiTheme="minorEastAsia" w:hAnsiTheme="minorEastAsia" w:eastAsiaTheme="minorEastAsia"/>
          <w:color w:val="auto"/>
          <w:szCs w:val="21"/>
          <w:highlight w:val="none"/>
        </w:rPr>
        <w:t>或根据公告方要求为软件免费升级和补丁更新，保证用户能够及时获得相关服务和技术文档的更新。技术文档包括操作手册、产品说明、系统架构、应急处理、规章制度等。如产品出现重大缺陷时，须主动告知公告方升级或应对措施。</w:t>
      </w:r>
    </w:p>
    <w:p>
      <w:pPr>
        <w:numPr>
          <w:ilvl w:val="0"/>
          <w:numId w:val="2"/>
        </w:num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咨询服务。公告方可随时向供应商或原厂进行技术咨询。</w:t>
      </w:r>
    </w:p>
    <w:p>
      <w:pPr>
        <w:numPr>
          <w:ilvl w:val="0"/>
          <w:numId w:val="2"/>
        </w:num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应急服务。提供每周7×24小时专人应急服务电话。</w:t>
      </w:r>
    </w:p>
    <w:p>
      <w:pPr>
        <w:numPr>
          <w:ilvl w:val="0"/>
          <w:numId w:val="2"/>
        </w:num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现场服务。按需提供技术人员现场支援的服务。工程师要保持相对的稳定性。在公告方场所工作时，技术人员应遵守公告方相应的规章制度。</w:t>
      </w:r>
    </w:p>
    <w:p>
      <w:pPr>
        <w:numPr>
          <w:ilvl w:val="0"/>
          <w:numId w:val="2"/>
        </w:num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系统迁移服务。服务期内，如公告方有系统迁移需求，供应商有义务根据公告方要求提供优选迁移建议服务，如有必要供应商到达公告方项目现场提供协助。</w:t>
      </w:r>
    </w:p>
    <w:p>
      <w:pPr>
        <w:numPr>
          <w:ilvl w:val="0"/>
          <w:numId w:val="2"/>
        </w:num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重点时期现场保障服务。重要节假日（五一、国庆、中秋、春节等）和重要时期（网络攻防演练、上级现场监管检查等）提供专业技术人员现场保障和协助的服务，协助公告方防守、加固、溯源和分析等工作。</w:t>
      </w:r>
    </w:p>
    <w:p>
      <w:pPr>
        <w:spacing w:line="360" w:lineRule="auto"/>
        <w:rPr>
          <w:rFonts w:ascii="宋体" w:hAnsi="宋体"/>
          <w:b/>
          <w:bCs/>
          <w:color w:val="auto"/>
          <w:szCs w:val="21"/>
          <w:highlight w:val="none"/>
        </w:rPr>
      </w:pPr>
      <w:r>
        <w:rPr>
          <w:rFonts w:hint="eastAsia" w:ascii="宋体" w:hAnsi="宋体"/>
          <w:b/>
          <w:bCs/>
          <w:color w:val="auto"/>
          <w:szCs w:val="21"/>
          <w:highlight w:val="none"/>
        </w:rPr>
        <w:t>五、供应商（本项目指产品制造商）要求</w:t>
      </w:r>
    </w:p>
    <w:p>
      <w:pPr>
        <w:numPr>
          <w:ilvl w:val="0"/>
          <w:numId w:val="3"/>
        </w:num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lang w:val="en-US" w:eastAsia="zh-CN"/>
        </w:rPr>
        <w:t>供应商为在中华人民共和国境内登记注册的、合法存续、正常经营且具有独立承担民事责任能力的法人或其他组织</w:t>
      </w:r>
      <w:r>
        <w:rPr>
          <w:rFonts w:hint="eastAsia" w:cs="仿宋_GB2312" w:asciiTheme="minorEastAsia" w:hAnsiTheme="minorEastAsia" w:eastAsiaTheme="minorEastAsia"/>
          <w:color w:val="auto"/>
          <w:szCs w:val="21"/>
          <w:highlight w:val="none"/>
        </w:rPr>
        <w:t>。</w:t>
      </w:r>
    </w:p>
    <w:p>
      <w:pPr>
        <w:numPr>
          <w:ilvl w:val="0"/>
          <w:numId w:val="3"/>
        </w:numPr>
        <w:spacing w:line="360" w:lineRule="auto"/>
        <w:ind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供应商须提供</w:t>
      </w:r>
      <w:r>
        <w:rPr>
          <w:rFonts w:hint="eastAsia" w:cs="仿宋_GB2312" w:asciiTheme="minorEastAsia" w:hAnsiTheme="minorEastAsia" w:eastAsiaTheme="minorEastAsia"/>
          <w:color w:val="auto"/>
          <w:szCs w:val="21"/>
          <w:highlight w:val="none"/>
          <w:lang w:val="en-US" w:eastAsia="zh-CN"/>
        </w:rPr>
        <w:t>兼容</w:t>
      </w:r>
      <w:r>
        <w:rPr>
          <w:rFonts w:hint="eastAsia" w:cs="仿宋_GB2312" w:asciiTheme="minorEastAsia" w:hAnsiTheme="minorEastAsia" w:eastAsiaTheme="minorEastAsia"/>
          <w:color w:val="auto"/>
          <w:szCs w:val="21"/>
          <w:highlight w:val="none"/>
        </w:rPr>
        <w:t>方面资质材料，包括不限于产品平台与</w:t>
      </w:r>
      <w:r>
        <w:rPr>
          <w:rFonts w:hint="eastAsia" w:cs="仿宋_GB2312" w:asciiTheme="minorEastAsia" w:hAnsiTheme="minorEastAsia" w:eastAsiaTheme="minorEastAsia"/>
          <w:color w:val="auto"/>
          <w:szCs w:val="21"/>
          <w:highlight w:val="none"/>
          <w:lang w:val="en-US" w:eastAsia="zh-CN"/>
        </w:rPr>
        <w:t>ARM、X86</w:t>
      </w:r>
      <w:r>
        <w:rPr>
          <w:rFonts w:hint="eastAsia" w:cs="仿宋_GB2312" w:asciiTheme="minorEastAsia" w:hAnsiTheme="minorEastAsia" w:eastAsiaTheme="minorEastAsia"/>
          <w:color w:val="auto"/>
          <w:szCs w:val="21"/>
          <w:highlight w:val="none"/>
        </w:rPr>
        <w:t>等主流芯片厂商的认证材料、与麒麟、统信</w:t>
      </w:r>
      <w:r>
        <w:rPr>
          <w:rFonts w:hint="eastAsia" w:cs="仿宋_GB2312" w:asciiTheme="minorEastAsia" w:hAnsiTheme="minorEastAsia" w:eastAsiaTheme="minorEastAsia"/>
          <w:color w:val="auto"/>
          <w:szCs w:val="21"/>
          <w:highlight w:val="none"/>
          <w:lang w:eastAsia="zh-CN"/>
        </w:rPr>
        <w:t>、</w:t>
      </w:r>
      <w:r>
        <w:rPr>
          <w:rFonts w:hint="eastAsia" w:cs="仿宋_GB2312" w:asciiTheme="minorEastAsia" w:hAnsiTheme="minorEastAsia" w:eastAsiaTheme="minorEastAsia"/>
          <w:color w:val="auto"/>
          <w:szCs w:val="21"/>
          <w:highlight w:val="none"/>
          <w:lang w:val="en-US" w:eastAsia="zh-CN"/>
        </w:rPr>
        <w:t>LINUX</w:t>
      </w:r>
      <w:r>
        <w:rPr>
          <w:rFonts w:hint="eastAsia" w:cs="仿宋_GB2312" w:asciiTheme="minorEastAsia" w:hAnsiTheme="minorEastAsia" w:eastAsiaTheme="minorEastAsia"/>
          <w:color w:val="auto"/>
          <w:szCs w:val="21"/>
          <w:highlight w:val="none"/>
        </w:rPr>
        <w:t>主流操作系统厂商的认证材料、与东方通、宝蓝德等主流中间件厂商的认证材料、与</w:t>
      </w:r>
      <w:r>
        <w:rPr>
          <w:rFonts w:hint="eastAsia" w:cs="仿宋_GB2312" w:asciiTheme="minorEastAsia" w:hAnsiTheme="minorEastAsia" w:eastAsiaTheme="minorEastAsia"/>
          <w:color w:val="auto"/>
          <w:szCs w:val="21"/>
          <w:highlight w:val="none"/>
          <w:lang w:val="en-US" w:eastAsia="zh-CN"/>
        </w:rPr>
        <w:t>国产数据库主流供应商</w:t>
      </w:r>
      <w:r>
        <w:rPr>
          <w:rFonts w:hint="eastAsia" w:cs="仿宋_GB2312" w:asciiTheme="minorEastAsia" w:hAnsiTheme="minorEastAsia" w:eastAsiaTheme="minorEastAsia"/>
          <w:color w:val="auto"/>
          <w:szCs w:val="21"/>
          <w:highlight w:val="none"/>
        </w:rPr>
        <w:t>的认证材料。</w:t>
      </w:r>
    </w:p>
    <w:p>
      <w:pPr>
        <w:numPr>
          <w:ilvl w:val="0"/>
          <w:numId w:val="3"/>
        </w:numPr>
        <w:spacing w:line="360" w:lineRule="auto"/>
        <w:ind w:firstLine="420" w:firstLineChars="200"/>
        <w:rPr>
          <w:rFonts w:hint="eastAsia" w:cs="仿宋_GB2312" w:asciiTheme="minorEastAsia" w:hAnsiTheme="minorEastAsia" w:eastAsiaTheme="minorEastAsia"/>
          <w:color w:val="000000"/>
          <w:szCs w:val="21"/>
          <w:highlight w:val="none"/>
        </w:rPr>
      </w:pPr>
      <w:r>
        <w:rPr>
          <w:rFonts w:hint="eastAsia" w:cs="仿宋_GB2312" w:asciiTheme="minorEastAsia" w:hAnsiTheme="minorEastAsia" w:eastAsiaTheme="minorEastAsia"/>
          <w:color w:val="000000"/>
          <w:szCs w:val="21"/>
          <w:highlight w:val="none"/>
        </w:rPr>
        <w:t>供应商须具备CMMI3级（含）以上证书</w:t>
      </w:r>
      <w:r>
        <w:rPr>
          <w:rFonts w:hint="eastAsia" w:cs="仿宋_GB2312" w:asciiTheme="minorEastAsia" w:hAnsiTheme="minorEastAsia" w:eastAsiaTheme="minorEastAsia"/>
          <w:color w:val="000000"/>
          <w:szCs w:val="21"/>
          <w:highlight w:val="none"/>
          <w:lang w:eastAsia="zh-CN"/>
        </w:rPr>
        <w:t>，</w:t>
      </w:r>
      <w:r>
        <w:rPr>
          <w:rFonts w:hint="eastAsia" w:cs="仿宋_GB2312" w:asciiTheme="minorEastAsia" w:hAnsiTheme="minorEastAsia" w:eastAsiaTheme="minorEastAsia"/>
          <w:color w:val="000000"/>
          <w:szCs w:val="21"/>
          <w:highlight w:val="none"/>
          <w:lang w:val="en-US" w:eastAsia="zh-CN"/>
        </w:rPr>
        <w:t>具备</w:t>
      </w:r>
      <w:r>
        <w:rPr>
          <w:rFonts w:hint="eastAsia" w:cs="仿宋_GB2312" w:asciiTheme="minorEastAsia" w:hAnsiTheme="minorEastAsia" w:eastAsiaTheme="minorEastAsia"/>
          <w:color w:val="000000"/>
          <w:szCs w:val="21"/>
          <w:highlight w:val="none"/>
        </w:rPr>
        <w:t>ISO9001</w:t>
      </w:r>
      <w:r>
        <w:rPr>
          <w:rFonts w:hint="eastAsia" w:cs="仿宋_GB2312" w:asciiTheme="minorEastAsia" w:hAnsiTheme="minorEastAsia" w:eastAsiaTheme="minorEastAsia"/>
          <w:color w:val="000000"/>
          <w:szCs w:val="21"/>
          <w:highlight w:val="none"/>
          <w:lang w:eastAsia="zh-CN"/>
        </w:rPr>
        <w:t>、</w:t>
      </w:r>
      <w:r>
        <w:rPr>
          <w:rFonts w:hint="eastAsia" w:cs="仿宋_GB2312" w:asciiTheme="minorEastAsia" w:hAnsiTheme="minorEastAsia" w:eastAsiaTheme="minorEastAsia"/>
          <w:color w:val="000000"/>
          <w:szCs w:val="21"/>
          <w:highlight w:val="none"/>
        </w:rPr>
        <w:t>ISO20000、ISO2700</w:t>
      </w:r>
      <w:r>
        <w:rPr>
          <w:rFonts w:hint="eastAsia" w:cs="仿宋_GB2312" w:asciiTheme="minorEastAsia" w:hAnsiTheme="minorEastAsia" w:eastAsiaTheme="minorEastAsia"/>
          <w:color w:val="000000"/>
          <w:szCs w:val="21"/>
          <w:highlight w:val="none"/>
          <w:lang w:val="en-US" w:eastAsia="zh-CN"/>
        </w:rPr>
        <w:t>1等</w:t>
      </w:r>
      <w:r>
        <w:rPr>
          <w:rFonts w:hint="eastAsia" w:cs="仿宋_GB2312" w:asciiTheme="minorEastAsia" w:hAnsiTheme="minorEastAsia" w:eastAsiaTheme="minorEastAsia"/>
          <w:color w:val="000000"/>
          <w:szCs w:val="21"/>
          <w:highlight w:val="none"/>
        </w:rPr>
        <w:t>体系认证</w:t>
      </w:r>
      <w:r>
        <w:rPr>
          <w:rFonts w:hint="eastAsia" w:cs="仿宋_GB2312" w:asciiTheme="minorEastAsia" w:hAnsiTheme="minorEastAsia" w:eastAsiaTheme="minorEastAsia"/>
          <w:color w:val="000000"/>
          <w:szCs w:val="21"/>
          <w:highlight w:val="none"/>
          <w:lang w:eastAsia="zh-CN"/>
        </w:rPr>
        <w:t>。</w:t>
      </w:r>
    </w:p>
    <w:p>
      <w:pPr>
        <w:numPr>
          <w:ilvl w:val="0"/>
          <w:numId w:val="3"/>
        </w:numPr>
        <w:spacing w:line="360" w:lineRule="auto"/>
        <w:ind w:firstLine="420" w:firstLineChars="200"/>
        <w:rPr>
          <w:rFonts w:hint="default"/>
          <w:lang w:val="en-US" w:eastAsia="zh-CN"/>
        </w:rPr>
      </w:pPr>
      <w:r>
        <w:rPr>
          <w:rFonts w:hint="eastAsia" w:cs="仿宋_GB2312" w:asciiTheme="minorEastAsia" w:hAnsiTheme="minorEastAsia" w:eastAsiaTheme="minorEastAsia"/>
          <w:color w:val="auto"/>
          <w:szCs w:val="21"/>
          <w:highlight w:val="none"/>
        </w:rPr>
        <w:t>供应商按以下要求提供产品</w:t>
      </w:r>
      <w:r>
        <w:rPr>
          <w:rFonts w:hint="eastAsia" w:cs="仿宋_GB2312" w:asciiTheme="minorEastAsia" w:hAnsiTheme="minorEastAsia" w:eastAsiaTheme="minorEastAsia"/>
          <w:color w:val="auto"/>
          <w:szCs w:val="21"/>
          <w:highlight w:val="none"/>
          <w:lang w:val="en-US" w:eastAsia="zh-CN"/>
        </w:rPr>
        <w:t>的银行业</w:t>
      </w:r>
      <w:r>
        <w:rPr>
          <w:rFonts w:hint="eastAsia" w:cs="仿宋_GB2312" w:asciiTheme="minorEastAsia" w:hAnsiTheme="minorEastAsia" w:eastAsiaTheme="minorEastAsia"/>
          <w:color w:val="auto"/>
          <w:szCs w:val="21"/>
          <w:highlight w:val="none"/>
        </w:rPr>
        <w:t>建设案例业绩</w:t>
      </w:r>
      <w:r>
        <w:rPr>
          <w:rFonts w:hint="eastAsia" w:cs="仿宋_GB2312" w:asciiTheme="minorEastAsia" w:hAnsiTheme="minorEastAsia" w:eastAsiaTheme="minorEastAsia"/>
          <w:color w:val="auto"/>
          <w:szCs w:val="21"/>
          <w:highlight w:val="none"/>
          <w:lang w:eastAsia="zh-CN"/>
        </w:rPr>
        <w:t>，</w:t>
      </w:r>
      <w:r>
        <w:rPr>
          <w:rFonts w:hint="eastAsia" w:cs="仿宋_GB2312" w:asciiTheme="minorEastAsia" w:hAnsiTheme="minorEastAsia" w:eastAsiaTheme="minorEastAsia"/>
          <w:color w:val="auto"/>
          <w:szCs w:val="21"/>
          <w:highlight w:val="none"/>
          <w:lang w:val="en-US" w:eastAsia="zh-CN"/>
        </w:rPr>
        <w:t>并满足以下所有条件：</w:t>
      </w:r>
    </w:p>
    <w:p>
      <w:pPr>
        <w:spacing w:line="360" w:lineRule="auto"/>
        <w:ind w:left="420" w:firstLine="420" w:firstLineChars="200"/>
        <w:rPr>
          <w:rFonts w:cs="仿宋_GB2312"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lang w:eastAsia="zh-CN"/>
        </w:rPr>
        <w:t>（</w:t>
      </w:r>
      <w:r>
        <w:rPr>
          <w:rFonts w:hint="eastAsia" w:cs="仿宋_GB2312" w:asciiTheme="minorEastAsia" w:hAnsiTheme="minorEastAsia" w:eastAsiaTheme="minorEastAsia"/>
          <w:color w:val="auto"/>
          <w:szCs w:val="21"/>
          <w:highlight w:val="none"/>
          <w:lang w:val="en-US" w:eastAsia="zh-CN"/>
        </w:rPr>
        <w:t>1</w:t>
      </w:r>
      <w:r>
        <w:rPr>
          <w:rFonts w:hint="eastAsia" w:cs="仿宋_GB2312" w:asciiTheme="minorEastAsia" w:hAnsiTheme="minorEastAsia" w:eastAsiaTheme="minorEastAsia"/>
          <w:color w:val="auto"/>
          <w:szCs w:val="21"/>
          <w:highlight w:val="none"/>
          <w:lang w:eastAsia="zh-CN"/>
        </w:rPr>
        <w:t>）</w:t>
      </w:r>
      <w:r>
        <w:rPr>
          <w:rFonts w:hint="eastAsia" w:cs="仿宋_GB2312" w:asciiTheme="minorEastAsia" w:hAnsiTheme="minorEastAsia" w:eastAsiaTheme="minorEastAsia"/>
          <w:color w:val="auto"/>
          <w:szCs w:val="21"/>
          <w:highlight w:val="none"/>
          <w:lang w:val="en-US" w:eastAsia="zh-CN"/>
        </w:rPr>
        <w:t>案例时间要求：20</w:t>
      </w:r>
      <w:r>
        <w:rPr>
          <w:rFonts w:hint="eastAsia" w:cs="仿宋_GB2312" w:asciiTheme="minorEastAsia" w:hAnsiTheme="minorEastAsia"/>
          <w:color w:val="auto"/>
          <w:szCs w:val="21"/>
          <w:highlight w:val="none"/>
          <w:lang w:val="en-US" w:eastAsia="zh-CN"/>
        </w:rPr>
        <w:t>23</w:t>
      </w:r>
      <w:r>
        <w:rPr>
          <w:rFonts w:hint="eastAsia" w:cs="仿宋_GB2312" w:asciiTheme="minorEastAsia" w:hAnsiTheme="minorEastAsia" w:eastAsiaTheme="minorEastAsia"/>
          <w:color w:val="auto"/>
          <w:szCs w:val="21"/>
          <w:highlight w:val="none"/>
          <w:lang w:val="en-US" w:eastAsia="zh-CN"/>
        </w:rPr>
        <w:t>年1月1日之后签订，并</w:t>
      </w:r>
      <w:r>
        <w:rPr>
          <w:rFonts w:hint="eastAsia" w:cs="仿宋_GB2312" w:asciiTheme="minorEastAsia" w:hAnsiTheme="minorEastAsia" w:eastAsiaTheme="minorEastAsia"/>
          <w:color w:val="auto"/>
          <w:szCs w:val="21"/>
          <w:highlight w:val="none"/>
        </w:rPr>
        <w:t>截止202</w:t>
      </w:r>
      <w:r>
        <w:rPr>
          <w:rFonts w:hint="eastAsia" w:cs="仿宋_GB2312" w:asciiTheme="minorEastAsia" w:hAnsiTheme="minorEastAsia"/>
          <w:color w:val="auto"/>
          <w:szCs w:val="21"/>
          <w:highlight w:val="none"/>
          <w:lang w:val="en-US" w:eastAsia="zh-CN"/>
        </w:rPr>
        <w:t>6</w:t>
      </w:r>
      <w:r>
        <w:rPr>
          <w:rFonts w:hint="eastAsia" w:cs="仿宋_GB2312" w:asciiTheme="minorEastAsia" w:hAnsiTheme="minorEastAsia" w:eastAsiaTheme="minorEastAsia"/>
          <w:color w:val="auto"/>
          <w:szCs w:val="21"/>
          <w:highlight w:val="none"/>
        </w:rPr>
        <w:t>年</w:t>
      </w:r>
      <w:r>
        <w:rPr>
          <w:rFonts w:hint="eastAsia" w:cs="仿宋_GB2312" w:asciiTheme="minorEastAsia" w:hAnsiTheme="minorEastAsia"/>
          <w:color w:val="auto"/>
          <w:szCs w:val="21"/>
          <w:highlight w:val="none"/>
          <w:lang w:val="en-US" w:eastAsia="zh-CN"/>
        </w:rPr>
        <w:t>6</w:t>
      </w:r>
      <w:r>
        <w:rPr>
          <w:rFonts w:hint="eastAsia" w:cs="仿宋_GB2312" w:asciiTheme="minorEastAsia" w:hAnsiTheme="minorEastAsia" w:eastAsiaTheme="minorEastAsia"/>
          <w:color w:val="auto"/>
          <w:szCs w:val="21"/>
          <w:highlight w:val="none"/>
        </w:rPr>
        <w:t>月前成功投产。</w:t>
      </w:r>
    </w:p>
    <w:p>
      <w:pPr>
        <w:spacing w:line="360" w:lineRule="auto"/>
        <w:ind w:left="420" w:firstLine="420" w:firstLineChars="200"/>
        <w:rPr>
          <w:rFonts w:hint="eastAsia"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eastAsiaTheme="minorEastAsia"/>
          <w:color w:val="auto"/>
          <w:szCs w:val="21"/>
          <w:highlight w:val="none"/>
          <w:lang w:val="en-US" w:eastAsia="zh-CN"/>
        </w:rPr>
        <w:t>（2）案例建设方规模要求：建设方银行202</w:t>
      </w:r>
      <w:r>
        <w:rPr>
          <w:rFonts w:hint="eastAsia" w:cs="仿宋_GB2312" w:asciiTheme="minorEastAsia" w:hAnsiTheme="minorEastAsia"/>
          <w:color w:val="auto"/>
          <w:szCs w:val="21"/>
          <w:highlight w:val="none"/>
          <w:lang w:val="en-US" w:eastAsia="zh-CN"/>
        </w:rPr>
        <w:t>5</w:t>
      </w:r>
      <w:r>
        <w:rPr>
          <w:rFonts w:hint="eastAsia" w:cs="仿宋_GB2312" w:asciiTheme="minorEastAsia" w:hAnsiTheme="minorEastAsia" w:eastAsiaTheme="minorEastAsia"/>
          <w:color w:val="auto"/>
          <w:szCs w:val="21"/>
          <w:highlight w:val="none"/>
          <w:lang w:val="en-US" w:eastAsia="zh-CN"/>
        </w:rPr>
        <w:t>年资产规模不得低于2000亿。</w:t>
      </w:r>
    </w:p>
    <w:p>
      <w:pPr>
        <w:spacing w:line="360" w:lineRule="auto"/>
        <w:ind w:left="420" w:firstLine="420" w:firstLineChars="200"/>
        <w:rPr>
          <w:rFonts w:hint="eastAsia"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eastAsiaTheme="minorEastAsia"/>
          <w:color w:val="auto"/>
          <w:szCs w:val="21"/>
          <w:highlight w:val="none"/>
          <w:lang w:val="en-US" w:eastAsia="zh-CN"/>
        </w:rPr>
        <w:t>（3）案例数量要求：</w:t>
      </w:r>
      <w:r>
        <w:rPr>
          <w:rFonts w:hint="eastAsia" w:cs="仿宋_GB2312" w:asciiTheme="minorEastAsia" w:hAnsiTheme="minorEastAsia" w:eastAsiaTheme="minorEastAsia"/>
          <w:color w:val="auto"/>
          <w:szCs w:val="21"/>
          <w:highlight w:val="none"/>
        </w:rPr>
        <w:t>至少有</w:t>
      </w:r>
      <w:r>
        <w:rPr>
          <w:rFonts w:hint="eastAsia" w:cs="仿宋_GB2312" w:asciiTheme="minorEastAsia" w:hAnsiTheme="minorEastAsia"/>
          <w:color w:val="auto"/>
          <w:szCs w:val="21"/>
          <w:highlight w:val="none"/>
          <w:lang w:val="en-US" w:eastAsia="zh-CN"/>
        </w:rPr>
        <w:t>5</w:t>
      </w:r>
      <w:r>
        <w:rPr>
          <w:rFonts w:hint="eastAsia" w:cs="仿宋_GB2312" w:asciiTheme="minorEastAsia" w:hAnsiTheme="minorEastAsia" w:eastAsiaTheme="minorEastAsia"/>
          <w:color w:val="auto"/>
          <w:szCs w:val="21"/>
          <w:highlight w:val="none"/>
        </w:rPr>
        <w:t>个与国内银行</w:t>
      </w:r>
      <w:r>
        <w:rPr>
          <w:rFonts w:hint="eastAsia" w:cs="仿宋_GB2312" w:asciiTheme="minorEastAsia" w:hAnsiTheme="minorEastAsia" w:eastAsiaTheme="minorEastAsia"/>
          <w:color w:val="auto"/>
          <w:szCs w:val="21"/>
          <w:highlight w:val="none"/>
          <w:lang w:val="en-US" w:eastAsia="zh-CN"/>
        </w:rPr>
        <w:t>直接签订的性能测试管理平台实施案例。</w:t>
      </w:r>
    </w:p>
    <w:p>
      <w:pPr>
        <w:spacing w:line="360" w:lineRule="auto"/>
        <w:ind w:left="420" w:firstLine="420" w:firstLineChars="200"/>
        <w:rPr>
          <w:rFonts w:hint="eastAsia"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eastAsiaTheme="minorEastAsia"/>
          <w:color w:val="auto"/>
          <w:szCs w:val="21"/>
          <w:highlight w:val="none"/>
          <w:lang w:val="en-US" w:eastAsia="zh-CN"/>
        </w:rPr>
        <w:t>（4）其他要求：案例业绩需要包含整体技术平台更换以及全部业务功能、流程重塑，不包含常规的人力外包服务或局部的功能、技术拓展。</w:t>
      </w:r>
    </w:p>
    <w:p>
      <w:pPr>
        <w:spacing w:line="360" w:lineRule="auto"/>
        <w:ind w:left="420" w:firstLine="420" w:firstLineChars="200"/>
        <w:rPr>
          <w:rFonts w:hint="default"/>
          <w:lang w:val="en-US" w:eastAsia="zh-CN"/>
        </w:rPr>
      </w:pPr>
      <w:r>
        <w:rPr>
          <w:rFonts w:hint="eastAsia" w:cs="仿宋_GB2312" w:asciiTheme="minorEastAsia" w:hAnsiTheme="minorEastAsia" w:eastAsiaTheme="minorEastAsia"/>
          <w:color w:val="auto"/>
          <w:szCs w:val="21"/>
          <w:highlight w:val="none"/>
          <w:lang w:val="en-US" w:eastAsia="zh-CN"/>
        </w:rPr>
        <w:t>（</w:t>
      </w:r>
      <w:r>
        <w:rPr>
          <w:rFonts w:hint="eastAsia" w:cs="仿宋_GB2312" w:asciiTheme="minorEastAsia" w:hAnsiTheme="minorEastAsia"/>
          <w:color w:val="auto"/>
          <w:szCs w:val="21"/>
          <w:highlight w:val="none"/>
          <w:lang w:val="en-US" w:eastAsia="zh-CN"/>
        </w:rPr>
        <w:t>5</w:t>
      </w:r>
      <w:r>
        <w:rPr>
          <w:rFonts w:hint="eastAsia" w:cs="仿宋_GB2312" w:asciiTheme="minorEastAsia" w:hAnsiTheme="minorEastAsia" w:eastAsiaTheme="minorEastAsia"/>
          <w:color w:val="auto"/>
          <w:szCs w:val="21"/>
          <w:highlight w:val="none"/>
          <w:lang w:val="en-US" w:eastAsia="zh-CN"/>
        </w:rPr>
        <w:t>）</w:t>
      </w:r>
      <w:r>
        <w:rPr>
          <w:rFonts w:hint="eastAsia" w:cs="仿宋_GB2312" w:asciiTheme="minorEastAsia" w:hAnsiTheme="minorEastAsia"/>
          <w:color w:val="auto"/>
          <w:szCs w:val="21"/>
          <w:highlight w:val="none"/>
          <w:lang w:val="en-US" w:eastAsia="zh-CN"/>
        </w:rPr>
        <w:t>补充说明</w:t>
      </w:r>
      <w:r>
        <w:rPr>
          <w:rFonts w:hint="eastAsia" w:cs="仿宋_GB2312" w:asciiTheme="minorEastAsia" w:hAnsiTheme="minorEastAsia" w:eastAsiaTheme="minorEastAsia"/>
          <w:color w:val="auto"/>
          <w:szCs w:val="21"/>
          <w:highlight w:val="none"/>
          <w:lang w:val="en-US" w:eastAsia="zh-CN"/>
        </w:rPr>
        <w:t>：</w:t>
      </w:r>
      <w:r>
        <w:rPr>
          <w:rFonts w:hint="eastAsia" w:cs="仿宋_GB2312" w:asciiTheme="minorEastAsia" w:hAnsiTheme="minorEastAsia"/>
          <w:color w:val="auto"/>
          <w:szCs w:val="21"/>
          <w:highlight w:val="none"/>
          <w:lang w:val="en-US" w:eastAsia="zh-CN"/>
        </w:rPr>
        <w:t>若供应商产品能覆盖我行核心场景80%以上且承诺配置化适配，案例数不足5个时，经评审可视为有效业绩。</w:t>
      </w:r>
    </w:p>
    <w:p>
      <w:pPr>
        <w:numPr>
          <w:ilvl w:val="0"/>
          <w:numId w:val="3"/>
        </w:numPr>
        <w:spacing w:line="360" w:lineRule="auto"/>
        <w:ind w:firstLine="420" w:firstLineChars="200"/>
        <w:rPr>
          <w:rFonts w:cs="仿宋_GB2312" w:asciiTheme="minorEastAsia" w:hAnsiTheme="minorEastAsia" w:eastAsiaTheme="minorEastAsia"/>
          <w:b/>
          <w:bCs/>
          <w:color w:val="auto"/>
          <w:szCs w:val="21"/>
          <w:highlight w:val="none"/>
        </w:rPr>
      </w:pPr>
      <w:r>
        <w:rPr>
          <w:rFonts w:hint="eastAsia" w:cs="仿宋_GB2312" w:asciiTheme="minorEastAsia" w:hAnsiTheme="minorEastAsia" w:eastAsiaTheme="minorEastAsia"/>
          <w:color w:val="auto"/>
          <w:szCs w:val="21"/>
          <w:highlight w:val="none"/>
        </w:rPr>
        <w:t>上述相关证明材料在递交反馈《</w:t>
      </w:r>
      <w:r>
        <w:rPr>
          <w:rFonts w:hint="eastAsia" w:cs="仿宋_GB2312" w:asciiTheme="minorEastAsia" w:hAnsiTheme="minorEastAsia" w:eastAsiaTheme="minorEastAsia"/>
          <w:b/>
          <w:bCs/>
          <w:color w:val="auto"/>
          <w:szCs w:val="21"/>
          <w:highlight w:val="none"/>
        </w:rPr>
        <w:t>东莞农村商业银行性能测试管理平台</w:t>
      </w:r>
      <w:r>
        <w:rPr>
          <w:rFonts w:hint="eastAsia" w:cs="仿宋_GB2312" w:asciiTheme="minorEastAsia" w:hAnsiTheme="minorEastAsia" w:eastAsiaTheme="minorEastAsia"/>
          <w:b/>
          <w:bCs/>
          <w:color w:val="auto"/>
          <w:szCs w:val="21"/>
          <w:highlight w:val="none"/>
          <w:lang w:val="en-US" w:eastAsia="zh-CN"/>
        </w:rPr>
        <w:t>建设</w:t>
      </w:r>
      <w:r>
        <w:rPr>
          <w:rFonts w:hint="eastAsia" w:cs="仿宋_GB2312" w:asciiTheme="minorEastAsia" w:hAnsiTheme="minorEastAsia" w:eastAsiaTheme="minorEastAsia"/>
          <w:b/>
          <w:bCs/>
          <w:color w:val="auto"/>
          <w:szCs w:val="21"/>
          <w:highlight w:val="none"/>
        </w:rPr>
        <w:t>项目</w:t>
      </w:r>
      <w:r>
        <w:rPr>
          <w:rFonts w:hint="eastAsia" w:cs="仿宋_GB2312" w:asciiTheme="minorEastAsia" w:hAnsiTheme="minorEastAsia" w:eastAsiaTheme="minorEastAsia"/>
          <w:color w:val="auto"/>
          <w:szCs w:val="21"/>
          <w:highlight w:val="none"/>
        </w:rPr>
        <w:t>市场调研记录表》时应提供上述相关证明材料的复印件加盖供应商公章的扫描件。</w:t>
      </w:r>
    </w:p>
    <w:p>
      <w:pPr>
        <w:numPr>
          <w:ilvl w:val="0"/>
          <w:numId w:val="3"/>
        </w:numPr>
        <w:spacing w:line="360" w:lineRule="auto"/>
        <w:ind w:firstLine="420" w:firstLineChars="200"/>
        <w:rPr>
          <w:color w:val="auto"/>
          <w:highlight w:val="none"/>
        </w:rPr>
      </w:pPr>
      <w:r>
        <w:rPr>
          <w:rFonts w:hint="eastAsia" w:ascii="宋体" w:hAnsi="宋体" w:eastAsia="宋体" w:cs="宋体"/>
          <w:b w:val="0"/>
          <w:kern w:val="2"/>
          <w:sz w:val="21"/>
          <w:szCs w:val="21"/>
          <w:highlight w:val="none"/>
          <w:lang w:val="en-US" w:eastAsia="zh-CN" w:bidi="ar-SA"/>
        </w:rPr>
        <w:t>至报名截止当天，供应商</w:t>
      </w:r>
      <w:r>
        <w:rPr>
          <w:rFonts w:hint="eastAsia" w:ascii="宋体" w:hAnsi="宋体" w:eastAsia="宋体" w:cs="宋体"/>
          <w:b w:val="0"/>
          <w:kern w:val="2"/>
          <w:sz w:val="21"/>
          <w:szCs w:val="21"/>
          <w:highlight w:val="none"/>
          <w:lang w:val="zh-CN" w:eastAsia="zh-CN" w:bidi="ar-SA"/>
        </w:rPr>
        <w:t>未被列入</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信用中国</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网站</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en-US" w:eastAsia="zh-CN" w:bidi="ar-SA"/>
        </w:rPr>
        <w:fldChar w:fldCharType="begin"/>
      </w:r>
      <w:r>
        <w:rPr>
          <w:rFonts w:hint="eastAsia" w:ascii="宋体" w:hAnsi="宋体" w:eastAsia="宋体" w:cs="宋体"/>
          <w:b w:val="0"/>
          <w:kern w:val="2"/>
          <w:sz w:val="21"/>
          <w:szCs w:val="21"/>
          <w:highlight w:val="none"/>
          <w:lang w:val="en-US" w:eastAsia="zh-CN" w:bidi="ar-SA"/>
        </w:rPr>
        <w:instrText xml:space="preserve"> HYPERLINK "http://www.creditchina.gov.cn)" </w:instrText>
      </w:r>
      <w:r>
        <w:rPr>
          <w:rFonts w:hint="eastAsia" w:ascii="宋体" w:hAnsi="宋体" w:eastAsia="宋体" w:cs="宋体"/>
          <w:b w:val="0"/>
          <w:kern w:val="2"/>
          <w:sz w:val="21"/>
          <w:szCs w:val="21"/>
          <w:highlight w:val="none"/>
          <w:lang w:val="en-US" w:eastAsia="zh-CN" w:bidi="ar-SA"/>
        </w:rPr>
        <w:fldChar w:fldCharType="separate"/>
      </w:r>
      <w:r>
        <w:rPr>
          <w:rFonts w:hint="eastAsia" w:ascii="宋体" w:hAnsi="宋体" w:eastAsia="宋体" w:cs="宋体"/>
          <w:b w:val="0"/>
          <w:kern w:val="2"/>
          <w:sz w:val="21"/>
          <w:szCs w:val="21"/>
          <w:highlight w:val="none"/>
          <w:lang w:val="en-US" w:eastAsia="zh-CN" w:bidi="ar-SA"/>
        </w:rPr>
        <w:t>www.creditchina.gov.cn)“</w:t>
      </w:r>
      <w:r>
        <w:rPr>
          <w:rFonts w:hint="eastAsia" w:ascii="宋体" w:hAnsi="宋体" w:eastAsia="宋体" w:cs="宋体"/>
          <w:b w:val="0"/>
          <w:kern w:val="2"/>
          <w:sz w:val="21"/>
          <w:szCs w:val="21"/>
          <w:highlight w:val="none"/>
          <w:lang w:val="zh-CN" w:eastAsia="zh-CN" w:bidi="ar-SA"/>
        </w:rPr>
        <w:t>记录失信被执行人或重</w:t>
      </w:r>
      <w:r>
        <w:rPr>
          <w:rFonts w:hint="eastAsia" w:ascii="宋体" w:hAnsi="宋体" w:eastAsia="宋体" w:cs="宋体"/>
          <w:b w:val="0"/>
          <w:kern w:val="2"/>
          <w:sz w:val="21"/>
          <w:szCs w:val="21"/>
          <w:highlight w:val="none"/>
          <w:lang w:val="zh-CN" w:eastAsia="zh-CN" w:bidi="ar-SA"/>
        </w:rPr>
        <w:fldChar w:fldCharType="end"/>
      </w:r>
      <w:r>
        <w:rPr>
          <w:rFonts w:hint="eastAsia" w:ascii="宋体" w:hAnsi="宋体" w:eastAsia="宋体" w:cs="宋体"/>
          <w:b w:val="0"/>
          <w:kern w:val="2"/>
          <w:sz w:val="21"/>
          <w:szCs w:val="21"/>
          <w:highlight w:val="none"/>
          <w:lang w:val="zh-CN" w:eastAsia="zh-CN" w:bidi="ar-SA"/>
        </w:rPr>
        <w:t>大税收违法案件当事人名单或政府采购严重违法失信名单</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记录名单</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不处于中国政府采购网</w:t>
      </w:r>
      <w:r>
        <w:rPr>
          <w:rFonts w:hint="eastAsia" w:ascii="宋体" w:hAnsi="宋体" w:eastAsia="宋体" w:cs="宋体"/>
          <w:b w:val="0"/>
          <w:kern w:val="2"/>
          <w:sz w:val="21"/>
          <w:szCs w:val="21"/>
          <w:highlight w:val="none"/>
          <w:lang w:val="en-US" w:eastAsia="zh-CN" w:bidi="ar-SA"/>
        </w:rPr>
        <w:t>(www.ccgp.gov.cn)“</w:t>
      </w:r>
      <w:r>
        <w:rPr>
          <w:rFonts w:hint="eastAsia" w:ascii="宋体" w:hAnsi="宋体" w:eastAsia="宋体" w:cs="宋体"/>
          <w:b w:val="0"/>
          <w:kern w:val="2"/>
          <w:sz w:val="21"/>
          <w:szCs w:val="21"/>
          <w:highlight w:val="none"/>
          <w:lang w:val="zh-CN" w:eastAsia="zh-CN" w:bidi="ar-SA"/>
        </w:rPr>
        <w:t>政府采购严重违法失信行为信息记录</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中的禁止参加政府采购活动期间</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处罚限届满的除外</w:t>
      </w:r>
      <w:r>
        <w:rPr>
          <w:rFonts w:hint="eastAsia" w:ascii="宋体" w:hAnsi="宋体" w:eastAsia="宋体" w:cs="宋体"/>
          <w:b w:val="0"/>
          <w:kern w:val="2"/>
          <w:sz w:val="21"/>
          <w:szCs w:val="21"/>
          <w:highlight w:val="none"/>
          <w:lang w:val="en-US" w:eastAsia="zh-CN" w:bidi="ar-SA"/>
        </w:rPr>
        <w:t>）</w:t>
      </w:r>
      <w:r>
        <w:rPr>
          <w:rFonts w:hint="eastAsia" w:cs="仿宋_GB2312" w:asciiTheme="minorEastAsia" w:hAnsiTheme="minorEastAsia" w:eastAsiaTheme="minorEastAsia"/>
          <w:color w:val="auto"/>
          <w:szCs w:val="21"/>
          <w:highlight w:val="none"/>
          <w:lang w:val="en-US" w:eastAsia="zh-CN"/>
        </w:rPr>
        <w:t>。</w:t>
      </w:r>
    </w:p>
    <w:p>
      <w:pPr>
        <w:tabs>
          <w:tab w:val="left" w:pos="0"/>
        </w:tabs>
        <w:spacing w:line="360" w:lineRule="auto"/>
        <w:ind w:firstLine="420" w:firstLineChars="200"/>
        <w:rPr>
          <w:rFonts w:hint="eastAsia" w:ascii="宋体" w:hAnsi="宋体" w:cs="宋体"/>
          <w:b w:val="0"/>
          <w:kern w:val="2"/>
          <w:sz w:val="21"/>
          <w:szCs w:val="21"/>
          <w:highlight w:val="none"/>
          <w:lang w:val="en-US" w:eastAsia="zh-CN" w:bidi="ar-SA"/>
        </w:rPr>
      </w:pPr>
    </w:p>
    <w:p>
      <w:pPr>
        <w:tabs>
          <w:tab w:val="left" w:pos="0"/>
        </w:tabs>
        <w:spacing w:line="360" w:lineRule="auto"/>
        <w:ind w:firstLine="420" w:firstLineChars="200"/>
        <w:rPr>
          <w:rFonts w:hint="eastAsia" w:ascii="宋体" w:hAnsi="宋体" w:cs="宋体"/>
          <w:b w:val="0"/>
          <w:kern w:val="2"/>
          <w:sz w:val="21"/>
          <w:szCs w:val="21"/>
          <w:highlight w:val="none"/>
          <w:lang w:val="en-US" w:eastAsia="zh-CN" w:bidi="ar-SA"/>
        </w:rPr>
      </w:pPr>
    </w:p>
    <w:p>
      <w:pPr>
        <w:tabs>
          <w:tab w:val="left" w:pos="0"/>
        </w:tabs>
        <w:spacing w:line="360" w:lineRule="auto"/>
        <w:ind w:firstLine="420" w:firstLineChars="200"/>
        <w:rPr>
          <w:rFonts w:hint="eastAsia" w:ascii="宋体" w:hAnsi="宋体" w:cs="宋体"/>
          <w:b w:val="0"/>
          <w:kern w:val="2"/>
          <w:sz w:val="21"/>
          <w:szCs w:val="21"/>
          <w:highlight w:val="none"/>
          <w:lang w:val="en-US" w:eastAsia="zh-CN" w:bidi="ar-SA"/>
        </w:rPr>
      </w:pPr>
      <w:r>
        <w:rPr>
          <w:rFonts w:hint="eastAsia" w:ascii="宋体" w:hAnsi="宋体" w:cs="宋体"/>
          <w:b w:val="0"/>
          <w:kern w:val="2"/>
          <w:sz w:val="21"/>
          <w:szCs w:val="21"/>
          <w:highlight w:val="none"/>
          <w:lang w:val="en-US" w:eastAsia="zh-CN" w:bidi="ar-SA"/>
        </w:rPr>
        <w:t>附件：</w:t>
      </w:r>
    </w:p>
    <w:p>
      <w:pPr>
        <w:tabs>
          <w:tab w:val="left" w:pos="0"/>
        </w:tabs>
        <w:spacing w:line="360" w:lineRule="auto"/>
        <w:ind w:firstLine="420" w:firstLineChars="200"/>
        <w:rPr>
          <w:rFonts w:hint="default" w:ascii="宋体" w:hAnsi="宋体" w:cs="宋体"/>
          <w:b w:val="0"/>
          <w:kern w:val="2"/>
          <w:sz w:val="21"/>
          <w:szCs w:val="21"/>
          <w:highlight w:val="none"/>
          <w:lang w:val="en-US" w:eastAsia="zh-CN" w:bidi="ar-SA"/>
        </w:rPr>
      </w:pPr>
      <w:r>
        <w:rPr>
          <w:rFonts w:hint="eastAsia" w:ascii="宋体" w:hAnsi="宋体" w:cs="宋体"/>
          <w:b w:val="0"/>
          <w:kern w:val="2"/>
          <w:sz w:val="21"/>
          <w:szCs w:val="21"/>
          <w:highlight w:val="none"/>
          <w:lang w:val="en-US" w:eastAsia="zh-CN" w:bidi="ar-SA"/>
        </w:rPr>
        <w:t>1.东莞农村商业银行性能测试管理平台建设项目调研表-xxx公司</w:t>
      </w:r>
    </w:p>
    <w:p>
      <w:pPr>
        <w:tabs>
          <w:tab w:val="left" w:pos="0"/>
        </w:tabs>
        <w:spacing w:line="360" w:lineRule="auto"/>
        <w:ind w:firstLine="420" w:firstLineChars="200"/>
        <w:rPr>
          <w:rFonts w:hint="default" w:ascii="宋体" w:hAnsi="宋体" w:cs="宋体"/>
          <w:b w:val="0"/>
          <w:kern w:val="2"/>
          <w:sz w:val="21"/>
          <w:szCs w:val="21"/>
          <w:highlight w:val="none"/>
          <w:lang w:val="en-US" w:eastAsia="zh-CN" w:bidi="ar-SA"/>
        </w:rPr>
      </w:pPr>
      <w:r>
        <w:rPr>
          <w:rFonts w:hint="eastAsia" w:ascii="宋体" w:hAnsi="宋体" w:cs="宋体"/>
          <w:b w:val="0"/>
          <w:kern w:val="2"/>
          <w:sz w:val="21"/>
          <w:szCs w:val="21"/>
          <w:highlight w:val="none"/>
          <w:lang w:val="en-US" w:eastAsia="zh-CN" w:bidi="ar-SA"/>
        </w:rPr>
        <w:t>2.</w:t>
      </w:r>
      <w:r>
        <w:rPr>
          <w:rFonts w:hint="default" w:ascii="宋体" w:hAnsi="宋体" w:cs="宋体"/>
          <w:b w:val="0"/>
          <w:kern w:val="2"/>
          <w:sz w:val="21"/>
          <w:szCs w:val="21"/>
          <w:highlight w:val="none"/>
          <w:lang w:val="en-US" w:eastAsia="zh-CN" w:bidi="ar-SA"/>
        </w:rPr>
        <w:t>公司基本情况介绍-xxx公司</w:t>
      </w:r>
    </w:p>
    <w:p>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4550A4"/>
    <w:multiLevelType w:val="singleLevel"/>
    <w:tmpl w:val="8F4550A4"/>
    <w:lvl w:ilvl="0" w:tentative="0">
      <w:start w:val="1"/>
      <w:numFmt w:val="decimal"/>
      <w:lvlText w:val="%1."/>
      <w:lvlJc w:val="left"/>
      <w:pPr>
        <w:tabs>
          <w:tab w:val="left" w:pos="0"/>
        </w:tabs>
        <w:ind w:left="0" w:firstLine="0"/>
      </w:pPr>
    </w:lvl>
  </w:abstractNum>
  <w:abstractNum w:abstractNumId="1">
    <w:nsid w:val="F3DEBA44"/>
    <w:multiLevelType w:val="singleLevel"/>
    <w:tmpl w:val="F3DEBA44"/>
    <w:lvl w:ilvl="0" w:tentative="0">
      <w:start w:val="1"/>
      <w:numFmt w:val="decimal"/>
      <w:lvlText w:val="%1."/>
      <w:lvlJc w:val="left"/>
      <w:pPr>
        <w:tabs>
          <w:tab w:val="left" w:pos="0"/>
        </w:tabs>
        <w:ind w:left="0" w:firstLine="0"/>
      </w:pPr>
    </w:lvl>
  </w:abstractNum>
  <w:abstractNum w:abstractNumId="2">
    <w:nsid w:val="1CFE06F0"/>
    <w:multiLevelType w:val="singleLevel"/>
    <w:tmpl w:val="1CFE06F0"/>
    <w:lvl w:ilvl="0" w:tentative="0">
      <w:start w:val="2"/>
      <w:numFmt w:val="chineseCounting"/>
      <w:suff w:val="nothing"/>
      <w:lvlText w:val="（%1）"/>
      <w:lvlJc w:val="left"/>
      <w:rPr>
        <w:rFonts w:hint="eastAsia"/>
      </w:rPr>
    </w:lvl>
  </w:abstractNum>
  <w:num w:numId="1">
    <w:abstractNumId w:val="2"/>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6DD0"/>
    <w:rsid w:val="02184707"/>
    <w:rsid w:val="02357EF4"/>
    <w:rsid w:val="025172D3"/>
    <w:rsid w:val="02C21A8B"/>
    <w:rsid w:val="03373CAA"/>
    <w:rsid w:val="05054A98"/>
    <w:rsid w:val="061E0361"/>
    <w:rsid w:val="099E2B21"/>
    <w:rsid w:val="0BED2CDE"/>
    <w:rsid w:val="0C457C25"/>
    <w:rsid w:val="0C76282D"/>
    <w:rsid w:val="0D340A79"/>
    <w:rsid w:val="0D573E51"/>
    <w:rsid w:val="0E372223"/>
    <w:rsid w:val="0E604700"/>
    <w:rsid w:val="106172ED"/>
    <w:rsid w:val="114C7F8B"/>
    <w:rsid w:val="11DA10DC"/>
    <w:rsid w:val="12430D52"/>
    <w:rsid w:val="12C93C86"/>
    <w:rsid w:val="15A60597"/>
    <w:rsid w:val="16D71D22"/>
    <w:rsid w:val="16E81A9A"/>
    <w:rsid w:val="17123F41"/>
    <w:rsid w:val="17411DF1"/>
    <w:rsid w:val="187620BE"/>
    <w:rsid w:val="19D26960"/>
    <w:rsid w:val="19E47D4D"/>
    <w:rsid w:val="1A1E5813"/>
    <w:rsid w:val="1AEE69FE"/>
    <w:rsid w:val="1B4646C4"/>
    <w:rsid w:val="1D0467E7"/>
    <w:rsid w:val="1DAF3419"/>
    <w:rsid w:val="1DE645B9"/>
    <w:rsid w:val="1F4478AC"/>
    <w:rsid w:val="1F7A749D"/>
    <w:rsid w:val="1FB32DF4"/>
    <w:rsid w:val="20B85C7F"/>
    <w:rsid w:val="215C5EEC"/>
    <w:rsid w:val="222F734B"/>
    <w:rsid w:val="241F12E7"/>
    <w:rsid w:val="242B03F0"/>
    <w:rsid w:val="248753CF"/>
    <w:rsid w:val="253D405D"/>
    <w:rsid w:val="26D45D6F"/>
    <w:rsid w:val="27DE2DD2"/>
    <w:rsid w:val="29D34EE6"/>
    <w:rsid w:val="2A715E00"/>
    <w:rsid w:val="2AB51B07"/>
    <w:rsid w:val="2B150ACF"/>
    <w:rsid w:val="2BB642A4"/>
    <w:rsid w:val="2D046FFD"/>
    <w:rsid w:val="2EC0206E"/>
    <w:rsid w:val="2F491019"/>
    <w:rsid w:val="3020181E"/>
    <w:rsid w:val="339F0912"/>
    <w:rsid w:val="341558EE"/>
    <w:rsid w:val="349921D7"/>
    <w:rsid w:val="356704E5"/>
    <w:rsid w:val="3696675B"/>
    <w:rsid w:val="37A30775"/>
    <w:rsid w:val="3A377E37"/>
    <w:rsid w:val="3ABB5038"/>
    <w:rsid w:val="3D044E0B"/>
    <w:rsid w:val="3DB22FEB"/>
    <w:rsid w:val="3FB8634B"/>
    <w:rsid w:val="3FC41B76"/>
    <w:rsid w:val="40847118"/>
    <w:rsid w:val="408C6A21"/>
    <w:rsid w:val="41F46727"/>
    <w:rsid w:val="42C623E0"/>
    <w:rsid w:val="44122DE4"/>
    <w:rsid w:val="4485762C"/>
    <w:rsid w:val="45392A30"/>
    <w:rsid w:val="4762139A"/>
    <w:rsid w:val="48052B82"/>
    <w:rsid w:val="48A33F0A"/>
    <w:rsid w:val="49496FBF"/>
    <w:rsid w:val="4A7E1BE4"/>
    <w:rsid w:val="4CFF720F"/>
    <w:rsid w:val="4E1D5E15"/>
    <w:rsid w:val="501F664A"/>
    <w:rsid w:val="503C7AAB"/>
    <w:rsid w:val="52796FDA"/>
    <w:rsid w:val="53641AE9"/>
    <w:rsid w:val="544A0969"/>
    <w:rsid w:val="56D201B5"/>
    <w:rsid w:val="57644F44"/>
    <w:rsid w:val="57F22EC2"/>
    <w:rsid w:val="59BE535D"/>
    <w:rsid w:val="5A5F4E79"/>
    <w:rsid w:val="5AF710EA"/>
    <w:rsid w:val="5AFF7F38"/>
    <w:rsid w:val="5C236231"/>
    <w:rsid w:val="5C385D7C"/>
    <w:rsid w:val="5FF35E9F"/>
    <w:rsid w:val="61C559B9"/>
    <w:rsid w:val="61E05679"/>
    <w:rsid w:val="624D3A32"/>
    <w:rsid w:val="62954A61"/>
    <w:rsid w:val="63C906B6"/>
    <w:rsid w:val="65F5642F"/>
    <w:rsid w:val="66AE1EDB"/>
    <w:rsid w:val="66CF7DDA"/>
    <w:rsid w:val="67255537"/>
    <w:rsid w:val="67BA097C"/>
    <w:rsid w:val="68104F26"/>
    <w:rsid w:val="68570F93"/>
    <w:rsid w:val="68B2195B"/>
    <w:rsid w:val="6C214692"/>
    <w:rsid w:val="6C2B679E"/>
    <w:rsid w:val="6C8F5E5E"/>
    <w:rsid w:val="6CAD46B7"/>
    <w:rsid w:val="6CDC7F77"/>
    <w:rsid w:val="6D0F6706"/>
    <w:rsid w:val="6E05611D"/>
    <w:rsid w:val="6E4842E0"/>
    <w:rsid w:val="6F5E7CB4"/>
    <w:rsid w:val="707F1A9F"/>
    <w:rsid w:val="70FD48BB"/>
    <w:rsid w:val="720A68F7"/>
    <w:rsid w:val="730B464C"/>
    <w:rsid w:val="73707BF4"/>
    <w:rsid w:val="737C0D75"/>
    <w:rsid w:val="75482292"/>
    <w:rsid w:val="75A956D9"/>
    <w:rsid w:val="798527D5"/>
    <w:rsid w:val="7B481A19"/>
    <w:rsid w:val="7B9C08FE"/>
    <w:rsid w:val="7D1D1250"/>
    <w:rsid w:val="7D5F1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Theme="majorHAnsi" w:hAnsiTheme="majorHAnsi" w:cstheme="majorBidi"/>
      <w:sz w:val="24"/>
    </w:rPr>
  </w:style>
  <w:style w:type="paragraph" w:styleId="3">
    <w:name w:val="Normal Indent"/>
    <w:basedOn w:val="1"/>
    <w:unhideWhenUsed/>
    <w:qFormat/>
    <w:uiPriority w:val="0"/>
    <w:pPr>
      <w:ind w:firstLine="420" w:firstLineChars="200"/>
    </w:pPr>
    <w:rPr>
      <w:rFonts w:ascii="Calibri" w:hAnsi="Calibri"/>
    </w:rPr>
  </w:style>
  <w:style w:type="paragraph" w:styleId="4">
    <w:name w:val="footer"/>
    <w:basedOn w:val="1"/>
    <w:unhideWhenUsed/>
    <w:qFormat/>
    <w:uiPriority w:val="99"/>
    <w:pPr>
      <w:tabs>
        <w:tab w:val="center" w:pos="4153"/>
        <w:tab w:val="right" w:pos="8306"/>
      </w:tabs>
      <w:snapToGrid w:val="0"/>
      <w:jc w:val="left"/>
    </w:pPr>
    <w:rPr>
      <w:sz w:val="18"/>
      <w:szCs w:val="18"/>
    </w:rPr>
  </w:style>
  <w:style w:type="character" w:customStyle="1" w:styleId="7">
    <w:name w:val="font11"/>
    <w:basedOn w:val="5"/>
    <w:uiPriority w:val="0"/>
    <w:rPr>
      <w:rFonts w:hint="default" w:ascii="Segoe UI" w:hAnsi="Segoe UI" w:eastAsia="Segoe UI" w:cs="Segoe UI"/>
      <w:color w:val="0F1115"/>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4</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2024-04-09T01:32:00Z</dcterms:created>
  <dc:creator>id120279</dc:creator>
  <cp:lastModifiedBy>admin</cp:lastModifiedBy>
  <dcterms:modified xsi:type="dcterms:W3CDTF">2026-08-11T02:07:52Z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35266DA40D7F45B482B3DA5683CA70E9</vt:lpwstr>
  </property>
</Properties>
</file>