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6BD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附件1：阀门接头类设备询价</w:t>
      </w:r>
      <w:r>
        <w:rPr>
          <w:rFonts w:hint="eastAsia" w:ascii="宋体" w:hAnsi="宋体" w:cs="宋体"/>
          <w:color w:val="000000" w:themeColor="text1"/>
          <w:sz w:val="28"/>
          <w:szCs w:val="28"/>
          <w:highlight w:val="none"/>
          <w14:textFill>
            <w14:solidFill>
              <w14:schemeClr w14:val="tx1"/>
            </w14:solidFill>
          </w14:textFill>
        </w:rPr>
        <w:t>清单及要求</w:t>
      </w:r>
    </w:p>
    <w:tbl>
      <w:tblPr>
        <w:tblStyle w:val="13"/>
        <w:tblW w:w="9889" w:type="dxa"/>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766"/>
        <w:gridCol w:w="1285"/>
        <w:gridCol w:w="1056"/>
        <w:gridCol w:w="936"/>
        <w:gridCol w:w="1134"/>
        <w:gridCol w:w="2978"/>
      </w:tblGrid>
      <w:tr w14:paraId="582D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78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D6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A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64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10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485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材质</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70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949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D5F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6432">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0274">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DN400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6C1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261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F2B">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F317">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DN1600排水井</w:t>
            </w:r>
          </w:p>
        </w:tc>
      </w:tr>
      <w:tr w14:paraId="56AF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41D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0ACF">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F61">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DN400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F7F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169E">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04D">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9121">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DN1200排水井</w:t>
            </w:r>
          </w:p>
        </w:tc>
      </w:tr>
      <w:tr w14:paraId="1A5E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EC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DD9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4AA">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DN300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29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E39">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EA3">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DBFD">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DN1000排水井</w:t>
            </w:r>
          </w:p>
        </w:tc>
      </w:tr>
      <w:tr w14:paraId="6492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9F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214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复合排气阀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B2E4">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DN150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3EE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20AF">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EB26">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9DAF">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给水用</w:t>
            </w:r>
          </w:p>
        </w:tc>
      </w:tr>
      <w:tr w14:paraId="70A1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7E7">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2F43">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复合排气阀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9A0">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B6E">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2D6E">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0FF">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555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给水用</w:t>
            </w:r>
          </w:p>
        </w:tc>
      </w:tr>
      <w:tr w14:paraId="45A6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55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1E2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12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DN150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42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1D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4060">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643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DN1200排水井</w:t>
            </w:r>
          </w:p>
        </w:tc>
      </w:tr>
      <w:tr w14:paraId="20D6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F65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941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FC8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DN100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F52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470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0817">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09D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DN1000排水井</w:t>
            </w:r>
          </w:p>
        </w:tc>
      </w:tr>
      <w:tr w14:paraId="1E9E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98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DA5C86">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left"/>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注:</w:t>
            </w:r>
          </w:p>
          <w:p w14:paraId="2D1F4F91">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t>报价要求：</w:t>
            </w:r>
          </w:p>
          <w:p w14:paraId="718CEC6C">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eastAsia" w:ascii="宋体" w:hAnsi="宋体" w:eastAsia="宋体" w:cs="宋体"/>
                <w:b w:val="0"/>
                <w:i w:val="0"/>
                <w:iCs w:val="0"/>
                <w:color w:val="auto"/>
                <w:spacing w:val="0"/>
                <w:kern w:val="0"/>
                <w:sz w:val="20"/>
                <w:szCs w:val="20"/>
                <w:u w:val="none"/>
                <w:lang w:val="en-US" w:eastAsia="zh-CN" w:bidi="ar"/>
              </w:rPr>
            </w:pPr>
            <w:r>
              <w:rPr>
                <w:rFonts w:hint="eastAsia" w:ascii="宋体" w:hAnsi="宋体" w:eastAsia="宋体" w:cs="宋体"/>
                <w:b w:val="0"/>
                <w:i w:val="0"/>
                <w:iCs w:val="0"/>
                <w:color w:val="auto"/>
                <w:spacing w:val="0"/>
                <w:kern w:val="0"/>
                <w:sz w:val="20"/>
                <w:szCs w:val="20"/>
                <w:u w:val="none"/>
                <w:lang w:val="en-US" w:eastAsia="zh-CN" w:bidi="ar"/>
              </w:rPr>
              <w:t>交货期：按施工进度分批送货，在接到买方送货通知后，10个工作日内按要求规格、数量送到施工现场。</w:t>
            </w:r>
          </w:p>
          <w:p w14:paraId="1FB96FC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default"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t>报价必须包括货物的所有费用，包括采购、运输、卸货、管理、利润、税金、保险、协调、售后服务以及所有的不定因素的风险等。</w:t>
            </w:r>
          </w:p>
          <w:p w14:paraId="3199B3FC">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default"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t>在本表中的设备未列明安装材料的，由供应商自行提供货物安装时需要的所有辅助材料及配件。</w:t>
            </w:r>
          </w:p>
          <w:p w14:paraId="3B321AC2">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技术标准</w:t>
            </w:r>
            <w:bookmarkStart w:id="0" w:name="_Toc4343"/>
            <w:bookmarkStart w:id="1" w:name="_Toc18970"/>
            <w:bookmarkStart w:id="2" w:name="_Toc14941"/>
            <w:bookmarkStart w:id="3" w:name="_Toc23020"/>
            <w:bookmarkStart w:id="4" w:name="_Toc16745"/>
            <w:bookmarkStart w:id="5" w:name="_Toc32661"/>
          </w:p>
          <w:p w14:paraId="22F7AC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02" w:firstLineChars="200"/>
              <w:jc w:val="left"/>
              <w:textAlignment w:val="top"/>
              <w:rPr>
                <w:rFonts w:hint="default"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t xml:space="preserve">1. </w:t>
            </w:r>
            <w:bookmarkEnd w:id="0"/>
            <w:bookmarkEnd w:id="1"/>
            <w:bookmarkEnd w:id="2"/>
            <w:bookmarkEnd w:id="3"/>
            <w:bookmarkEnd w:id="4"/>
            <w:bookmarkEnd w:id="5"/>
            <w:r>
              <w:rPr>
                <w:rFonts w:hint="eastAsia" w:ascii="宋体" w:hAnsi="宋体" w:cs="宋体"/>
                <w:b/>
                <w:bCs/>
                <w:i w:val="0"/>
                <w:iCs w:val="0"/>
                <w:color w:val="000000" w:themeColor="text1"/>
                <w:spacing w:val="0"/>
                <w:kern w:val="0"/>
                <w:sz w:val="20"/>
                <w:szCs w:val="20"/>
                <w:u w:val="none"/>
                <w:lang w:val="en-US" w:eastAsia="zh-CN" w:bidi="ar"/>
                <w14:textFill>
                  <w14:solidFill>
                    <w14:schemeClr w14:val="tx1"/>
                  </w14:solidFill>
                </w14:textFill>
              </w:rPr>
              <w:t xml:space="preserve"> 阀门</w:t>
            </w:r>
          </w:p>
          <w:p w14:paraId="40C7B443">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一般技术要求</w:t>
            </w:r>
          </w:p>
          <w:p w14:paraId="2FF186D5">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rPr>
              <w:t>）供应的设备应是技术先进、成熟可靠的产品。</w:t>
            </w:r>
          </w:p>
          <w:p w14:paraId="02079725">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）公称压力≤PN10，温度≤80℃范围内连续工作。</w:t>
            </w:r>
          </w:p>
          <w:p w14:paraId="744843AF">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）适用于城市供水管网，工作介质为淡水，口径＜DN500的没有支脚，口径≥DN500的有支脚。手动蝶阀应为成套装置，应包括手动执行机构、基础螺栓及其他有效运行所需的运行和安装附件。</w:t>
            </w:r>
          </w:p>
          <w:p w14:paraId="291BB64C">
            <w:pPr>
              <w:pageBreakBefore w:val="0"/>
              <w:numPr>
                <w:ilvl w:val="0"/>
                <w:numId w:val="5"/>
              </w:numPr>
              <w:kinsoku/>
              <w:wordWrap w:val="0"/>
              <w:topLinePunct w:val="0"/>
              <w:bidi w:val="0"/>
              <w:spacing w:line="400" w:lineRule="exact"/>
              <w:ind w:left="0" w:leftChars="0" w:firstLine="0" w:firstLineChars="0"/>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执行标准</w:t>
            </w:r>
          </w:p>
          <w:p w14:paraId="188036A6">
            <w:pPr>
              <w:pageBreakBefore w:val="0"/>
              <w:kinsoku/>
              <w:wordWrap w:val="0"/>
              <w:topLinePunct w:val="0"/>
              <w:bidi w:val="0"/>
              <w:spacing w:line="400" w:lineRule="exact"/>
              <w:ind w:firstLine="48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如果标准中有相互矛盾之处，按较高标准执行</w:t>
            </w:r>
          </w:p>
          <w:p w14:paraId="0E9FF055">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《给水排水用蝶阀》                                  CJ/T 261 </w:t>
            </w:r>
          </w:p>
          <w:p w14:paraId="7EAD105A">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《法兰和对夹连接弹性密封蝶阀》                      GB/T 12238</w:t>
            </w:r>
          </w:p>
          <w:p w14:paraId="0FD6ABF0">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《金属阀门 结构长度》                               GB/T 12221</w:t>
            </w:r>
          </w:p>
          <w:p w14:paraId="748A9306">
            <w:pPr>
              <w:pageBreakBefore w:val="0"/>
              <w:kinsoku/>
              <w:wordWrap w:val="0"/>
              <w:topLinePunct w:val="0"/>
              <w:bidi w:val="0"/>
              <w:spacing w:line="400" w:lineRule="exact"/>
              <w:ind w:right="-32"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《整体铸铁法兰》                                    GB/T 17241.6</w:t>
            </w:r>
          </w:p>
          <w:p w14:paraId="7BC75EF8">
            <w:pPr>
              <w:pageBreakBefore w:val="0"/>
              <w:kinsoku/>
              <w:wordWrap w:val="0"/>
              <w:topLinePunct w:val="0"/>
              <w:bidi w:val="0"/>
              <w:spacing w:line="400" w:lineRule="exact"/>
              <w:ind w:right="-32"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《整体铸铁法兰 技术条件》                           GB/T 17241.7</w:t>
            </w:r>
          </w:p>
          <w:p w14:paraId="4C06A8C1">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《工业阀门 压力试验》                               GB/T 13927</w:t>
            </w:r>
          </w:p>
          <w:p w14:paraId="6A68541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《生活饮用水输配水设备及防护材料的安全性评价标准》  GB/T 17219</w:t>
            </w:r>
          </w:p>
          <w:p w14:paraId="14AA9131">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《色漆和清漆 铅笔法测定漆膜硬度》                   GB/T 6739</w:t>
            </w:r>
          </w:p>
          <w:p w14:paraId="6DD32A5B">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《色漆和清漆 漆膜的划格试验》                       GB/T 9286</w:t>
            </w:r>
          </w:p>
          <w:p w14:paraId="789DCBA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《通用阀门 球墨铸铁件技术条件》                     GB/T 12227</w:t>
            </w:r>
          </w:p>
          <w:p w14:paraId="2F325C3A">
            <w:pPr>
              <w:pageBreakBefore w:val="0"/>
              <w:kinsoku/>
              <w:wordWrap w:val="0"/>
              <w:topLinePunct w:val="0"/>
              <w:bidi w:val="0"/>
              <w:spacing w:line="400" w:lineRule="exact"/>
              <w:ind w:left="365" w:leftChars="174"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《通用阀门 铜合金铸件技术条件》                     GB/T 12225</w:t>
            </w:r>
          </w:p>
          <w:p w14:paraId="1E9600BA">
            <w:pPr>
              <w:pageBreakBefore w:val="0"/>
              <w:kinsoku/>
              <w:wordWrap w:val="0"/>
              <w:topLinePunct w:val="0"/>
              <w:bidi w:val="0"/>
              <w:spacing w:line="400" w:lineRule="exact"/>
              <w:ind w:left="365" w:leftChars="174"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《不锈钢棒》                                        GB/T 1220</w:t>
            </w:r>
          </w:p>
          <w:p w14:paraId="15EAC34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《不锈钢冷轧钢板和钢带》                            GB/T 3280</w:t>
            </w:r>
          </w:p>
          <w:p w14:paraId="1755A5ED">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《部分回转阀门驱动装置的连接》                      GB/T 12223</w:t>
            </w:r>
          </w:p>
          <w:p w14:paraId="4F6CADD0">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《阀门手动装置技术条件》                            JB/T 8531</w:t>
            </w:r>
          </w:p>
          <w:p w14:paraId="06AF08CB">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《橡胶密封件 给、排水管及污水管道用接口密封圈 材料规范》HG/T 3091  </w:t>
            </w:r>
          </w:p>
          <w:p w14:paraId="5E8A9799">
            <w:pPr>
              <w:pStyle w:val="12"/>
              <w:pageBreakBefore w:val="0"/>
              <w:widowControl w:val="0"/>
              <w:kinsoku/>
              <w:wordWrap w:val="0"/>
              <w:topLinePunct w:val="0"/>
              <w:bidi w:val="0"/>
              <w:spacing w:before="0" w:beforeAutospacing="0" w:after="0" w:afterAutospacing="0" w:line="400" w:lineRule="exact"/>
              <w:ind w:firstLine="400" w:firstLineChars="20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《通用阀门 标志》                                   GB/T 12220</w:t>
            </w:r>
          </w:p>
          <w:p w14:paraId="4DB779F6">
            <w:pPr>
              <w:pStyle w:val="12"/>
              <w:pageBreakBefore w:val="0"/>
              <w:widowControl w:val="0"/>
              <w:kinsoku/>
              <w:wordWrap w:val="0"/>
              <w:topLinePunct w:val="0"/>
              <w:bidi w:val="0"/>
              <w:spacing w:before="0" w:beforeAutospacing="0" w:after="0" w:afterAutospacing="0" w:line="400" w:lineRule="exact"/>
              <w:ind w:firstLine="400" w:firstLineChars="20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《通用阀门 供货要求》                               GB/T 12252</w:t>
            </w:r>
          </w:p>
          <w:p w14:paraId="003514B7">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《通用阀门 供货要求》                               JB/T 7928</w:t>
            </w:r>
          </w:p>
          <w:p w14:paraId="086806B8">
            <w:pPr>
              <w:pageBreakBefore w:val="0"/>
              <w:numPr>
                <w:ilvl w:val="0"/>
                <w:numId w:val="5"/>
              </w:numPr>
              <w:kinsoku/>
              <w:wordWrap w:val="0"/>
              <w:topLinePunct w:val="0"/>
              <w:bidi w:val="0"/>
              <w:spacing w:line="400" w:lineRule="exact"/>
              <w:ind w:left="0" w:leftChars="0" w:firstLine="0" w:firstLineChars="0"/>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结构</w:t>
            </w:r>
          </w:p>
          <w:p w14:paraId="46156BE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蝶阀应采用偏心式结构。</w:t>
            </w:r>
          </w:p>
          <w:p w14:paraId="631EE47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蝶阀与管道的连接应采用法兰连接，法兰连接尺寸符合国家标准。</w:t>
            </w:r>
          </w:p>
          <w:p w14:paraId="2120795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蝶阀应采用流阻小、刚性好、压力损失小的阀板结构。</w:t>
            </w:r>
          </w:p>
          <w:p w14:paraId="2CAFC10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蝶阀应能承受双向水压。要求实现零泄漏。</w:t>
            </w:r>
          </w:p>
          <w:p w14:paraId="27DA5EC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阀体采用整体铸造，连接法兰与阀体铸为一体，铸造缺陷不得采用补焊、锤击、浸渗等任何方式的修补。阀体的强度设计许用应力不应超过材料极限强度的1/5。口径大于DN500的阀体上应配有能承受阀门重量的吊耳等起吊装置。悬吊时应能保持阀门的平稳。阀门两端侧法兰材质应与阀体一致，并应与阀体铸为一体，阀体的最小壁厚应符合GB/T12238的规定。</w:t>
            </w:r>
          </w:p>
          <w:p w14:paraId="6470FC2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蝶阀的蝶板采用球墨铸铁或不锈钢等材质。蝶板的设计应力应能承受作用在关闭蝶阀上的全部压差，而所产生的工作应力不超过使用材料的抗拉强度的1/5。蝶板全开状态时必须与水流方向平行。蝶板应具有流阻小、强度高、抗振性能好，在水流速较高的情况下，阀板不出现颤抖现象，确保阀门的稳固性。蝶阀阀板软密封形式，橡胶密封圈采用可调节松紧的压环固定在阀板上，调节压圈上螺栓松紧，进行双向密封，或采取更优的方式进行密封。在水流冲击下，应不松动、不脱落、不渗漏，大大延长密封圈的使用寿命。</w:t>
            </w:r>
          </w:p>
          <w:p w14:paraId="4AC81DE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阀轴：应采用2Cr13不锈钢材质或采用更好材料。应确保阀轴与阀板之间传动安全性。阀轴为两根分别插入阀板中的短轴。阀轴的最小直径应满足力矩及有关参数的要求。</w:t>
            </w:r>
          </w:p>
          <w:p w14:paraId="0275975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阀轴和阀板采用牢固可靠连接方式，应采用偏心销结构连接或更优的结构方式，不允许有连接松动、启闭空转的现象。连接应能满足传递相当于最小轴径扭转强度的转矩要求。轴与阀板应紧密装配，以保证在开启或关闭操作中对阀门性能不产生有害影响。阀体上下两端轴座内应设置铝青铜轴套，使阀板阀杆转动配合精巧灵活。轴承应采用自润滑式轴承，确保运行中摩擦阻力小。</w:t>
            </w:r>
          </w:p>
          <w:p w14:paraId="5D4968A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蝶阀阀座材料应采用不锈钢，不允许采用其它材料。</w:t>
            </w:r>
          </w:p>
          <w:p w14:paraId="6516258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蝶阀应采用性能可靠，寿命长久的密封结构。橡胶密封圈应整体嵌固在阀板或阀体上，应能自身调节密封，以保证在变化的压力下，阀门仍能够密封严密，不泄漏。</w:t>
            </w:r>
          </w:p>
          <w:p w14:paraId="041DC97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（11）</w:t>
            </w:r>
            <w:r>
              <w:rPr>
                <w:rFonts w:hint="eastAsia" w:ascii="宋体" w:hAnsi="宋体" w:eastAsia="宋体" w:cs="宋体"/>
                <w:color w:val="auto"/>
                <w:sz w:val="20"/>
                <w:szCs w:val="20"/>
                <w:highlight w:val="none"/>
              </w:rPr>
              <w:t>阀轴应带有自润滑式轴套，运行时无需注油。</w:t>
            </w:r>
          </w:p>
          <w:p w14:paraId="0724EC7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rPr>
              <w:t>轴密封采用三道以上“O”形或“V”形橡胶密封圈，密封应严密可靠。阀杆与密封圈接触部份应光滑，配合公差适度。橡胶密封圈必须采用新的丁腈橡胶，应有良好的耐磨性、抗腐蚀性、抗冲击性、抗微生物侵蚀及抗老化（30年以上）等性能。橡胶成份中，应不含植物油，植物油衍生物，动物脂和动物油。橡胶成份中，铜离子含量不应超过百万分之八。应含有铜的抑制剂，以防止铜使橡胶材质老化。橡胶成份中，每100个单位烃中含腊量不应超过1.5％，严禁采用再生橡胶。阀杆密封材料采用“O”形密封圈（NBR），尺寸符合GB/T 3452.1标准，保证互换性。不允许使用盘根、石墨等其它材料。阀杆伸出端密封应至少设有3道密封圈。不允许将密封圈简单堆压在一起用压兰挤压密封。避免密封圈相互间缠绕现象的发生。</w:t>
            </w:r>
          </w:p>
          <w:p w14:paraId="0EADF8D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（13）</w:t>
            </w:r>
            <w:r>
              <w:rPr>
                <w:rFonts w:hint="eastAsia" w:ascii="宋体" w:hAnsi="宋体" w:eastAsia="宋体" w:cs="宋体"/>
                <w:color w:val="auto"/>
                <w:sz w:val="20"/>
                <w:szCs w:val="20"/>
                <w:highlight w:val="none"/>
              </w:rPr>
              <w:t>阀门密封面不允许有吻合缺陷。</w:t>
            </w:r>
          </w:p>
          <w:p w14:paraId="02C33DA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（14）</w:t>
            </w:r>
            <w:r>
              <w:rPr>
                <w:rFonts w:hint="eastAsia" w:ascii="宋体" w:hAnsi="宋体" w:eastAsia="宋体" w:cs="宋体"/>
                <w:color w:val="auto"/>
                <w:sz w:val="20"/>
                <w:szCs w:val="20"/>
                <w:highlight w:val="none"/>
              </w:rPr>
              <w:t>手动蝶阀的传动采用蜗轮蜗杆式。</w:t>
            </w:r>
          </w:p>
          <w:p w14:paraId="29FFD2F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（15）</w:t>
            </w:r>
            <w:r>
              <w:rPr>
                <w:rFonts w:hint="eastAsia" w:ascii="宋体" w:hAnsi="宋体" w:eastAsia="宋体" w:cs="宋体"/>
                <w:color w:val="auto"/>
                <w:sz w:val="20"/>
                <w:szCs w:val="20"/>
                <w:highlight w:val="none"/>
              </w:rPr>
              <w:t>装配好的阀门启闭应灵活，各传动部位无卡滞现象，无异常机械声响，开关指针与刻度应准确可靠。</w:t>
            </w:r>
          </w:p>
          <w:p w14:paraId="75FF8AF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（16）</w:t>
            </w:r>
            <w:r>
              <w:rPr>
                <w:rFonts w:hint="eastAsia" w:ascii="宋体" w:hAnsi="宋体" w:eastAsia="宋体" w:cs="宋体"/>
                <w:color w:val="auto"/>
                <w:sz w:val="20"/>
                <w:szCs w:val="20"/>
                <w:highlight w:val="none"/>
              </w:rPr>
              <w:t>蝶阀应具有很好的导流性，使阀门全开时介质流经阀门时的流阻系数不超过0.3。</w:t>
            </w:r>
          </w:p>
          <w:p w14:paraId="2FCF64C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（17）</w:t>
            </w:r>
            <w:r>
              <w:rPr>
                <w:rFonts w:hint="eastAsia" w:ascii="宋体" w:hAnsi="宋体" w:eastAsia="宋体" w:cs="宋体"/>
                <w:color w:val="auto"/>
                <w:sz w:val="20"/>
                <w:szCs w:val="20"/>
                <w:highlight w:val="none"/>
              </w:rPr>
              <w:t>蝶阀应可以根据不同工况条件满足安装。</w:t>
            </w:r>
          </w:p>
          <w:p w14:paraId="10E4EB2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（18）</w:t>
            </w:r>
            <w:r>
              <w:rPr>
                <w:rFonts w:hint="eastAsia" w:ascii="宋体" w:hAnsi="宋体" w:eastAsia="宋体" w:cs="宋体"/>
                <w:color w:val="auto"/>
                <w:sz w:val="20"/>
                <w:szCs w:val="20"/>
                <w:highlight w:val="none"/>
              </w:rPr>
              <w:t>阀门的主要零部件应可以互换，法兰及其他连接尺寸及公差应符合有关规定。</w:t>
            </w:r>
          </w:p>
          <w:p w14:paraId="24F4D26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（19）</w:t>
            </w:r>
            <w:r>
              <w:rPr>
                <w:rFonts w:hint="eastAsia" w:ascii="宋体" w:hAnsi="宋体" w:eastAsia="宋体" w:cs="宋体"/>
                <w:color w:val="auto"/>
                <w:sz w:val="20"/>
                <w:szCs w:val="20"/>
                <w:highlight w:val="none"/>
              </w:rPr>
              <w:t>阀门的操作应是顺时针方向转动传动方头，传动方头朝上，配大方头。</w:t>
            </w:r>
          </w:p>
          <w:p w14:paraId="7696E7E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所有标准阀门应适用于介质温度不高于80℃的浑水。</w:t>
            </w:r>
          </w:p>
          <w:p w14:paraId="29C57D8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（21）</w:t>
            </w:r>
            <w:r>
              <w:rPr>
                <w:rFonts w:hint="eastAsia" w:ascii="宋体" w:hAnsi="宋体" w:eastAsia="宋体" w:cs="宋体"/>
                <w:color w:val="auto"/>
                <w:sz w:val="20"/>
                <w:szCs w:val="20"/>
                <w:highlight w:val="none"/>
              </w:rPr>
              <w:t>供货商应提供给购买方证明材料，以证明他们所推荐的所有阀门能经得起10年以上的使用，即使安装在野外工作情况下也能保持良好的性能。</w:t>
            </w:r>
          </w:p>
          <w:p w14:paraId="6BDA54BC">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（22）</w:t>
            </w:r>
            <w:r>
              <w:rPr>
                <w:rFonts w:hint="eastAsia" w:ascii="宋体" w:hAnsi="宋体" w:eastAsia="宋体" w:cs="宋体"/>
                <w:color w:val="auto"/>
                <w:sz w:val="20"/>
                <w:szCs w:val="20"/>
                <w:highlight w:val="none"/>
              </w:rPr>
              <w:t>驱动装置能保证蝶阀在最高允许工作压力和最大流速的工况下正常操作。不低于JBT 8531标准的要求。采用蜗轮头二级传动，用手轮或手柄操作时，操作力应不大于350N，法兰连接，立式或卧式安装（由买方根据项目工程需要订货时指定），无论立式或卧式，均要求开闭指针在阀轴方向，传动方头朝上。传动方头要大方头形式，能承受所需的力矩，保证阀板在开启或关闭时的稳定性。所有蝶阀都应装配开启和关闭的限位器和开度指示器，开度指示器开度范围0°～90°。限位器牢固可靠，阀门开启或关闭时不能出现过限位的情况。传动机构的支座及阀体的连接部件要有足够的刚度和强度。传动机构与阀门法兰要有足够距离，保证该处螺栓正常安装。传动装置蜗轮箱应采用承压式设计，在开启或关闭过程中，端盖不受力，提高其使用寿命。采用全封闭设计，使之在水下也正常工作。蜗轮箱传动比&lt;200。</w:t>
            </w:r>
          </w:p>
          <w:p w14:paraId="29024BF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（23）</w:t>
            </w:r>
            <w:r>
              <w:rPr>
                <w:rFonts w:hint="eastAsia" w:ascii="宋体" w:hAnsi="宋体" w:eastAsia="宋体" w:cs="宋体"/>
                <w:color w:val="auto"/>
                <w:sz w:val="20"/>
                <w:szCs w:val="20"/>
                <w:highlight w:val="none"/>
              </w:rPr>
              <w:t>承包商要提供必要的阀门备用部件，以备阀门在最初五年内安全运行所需，这些部件包括一整套密封装置。并列备用部件的清单。阀门备件的报价需计入投标总价。</w:t>
            </w:r>
          </w:p>
          <w:p w14:paraId="04C9841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（24）</w:t>
            </w:r>
            <w:r>
              <w:rPr>
                <w:rFonts w:hint="eastAsia" w:ascii="宋体" w:hAnsi="宋体" w:eastAsia="宋体" w:cs="宋体"/>
                <w:color w:val="auto"/>
                <w:sz w:val="20"/>
                <w:szCs w:val="20"/>
                <w:highlight w:val="none"/>
              </w:rPr>
              <w:t>阀门的开闭指示用中文或英文标注“开”和“关”。</w:t>
            </w:r>
          </w:p>
          <w:p w14:paraId="357595F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阀门的标志应完备、清晰，阀门标志应至少包含：制造商商标、材质牌号、介质流向箭头。铭牌应固定在明显的位置，内容包括：a.阀门的型号及规格；b.工作压力；c.制造年月、出厂编号；d.制造厂家名称或厂标。铭牌应符合《GB/T12220 通用阀门 标志》的规定。</w:t>
            </w:r>
          </w:p>
          <w:p w14:paraId="077EEBD5">
            <w:pPr>
              <w:pageBreakBefore w:val="0"/>
              <w:numPr>
                <w:ilvl w:val="0"/>
                <w:numId w:val="5"/>
              </w:numPr>
              <w:kinsoku/>
              <w:wordWrap w:val="0"/>
              <w:topLinePunct w:val="0"/>
              <w:bidi w:val="0"/>
              <w:spacing w:line="400" w:lineRule="exact"/>
              <w:ind w:left="0" w:leftChars="0" w:firstLine="0" w:firstLineChars="0"/>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技术性能参数</w:t>
            </w:r>
          </w:p>
          <w:p w14:paraId="53CB8413">
            <w:pPr>
              <w:pStyle w:val="20"/>
              <w:pageBreakBefore w:val="0"/>
              <w:numPr>
                <w:ilvl w:val="0"/>
                <w:numId w:val="0"/>
              </w:numPr>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default"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highlight w:val="none"/>
              </w:rPr>
              <w:t>强度试验： 1.5倍。</w:t>
            </w:r>
          </w:p>
          <w:p w14:paraId="23B1DF68">
            <w:pPr>
              <w:pStyle w:val="8"/>
              <w:pageBreakBefore w:val="0"/>
              <w:numPr>
                <w:ilvl w:val="0"/>
                <w:numId w:val="0"/>
              </w:numPr>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default" w:ascii="宋体" w:hAnsi="宋体" w:eastAsia="宋体" w:cs="宋体"/>
                <w:color w:val="auto"/>
                <w:kern w:val="2"/>
                <w:sz w:val="20"/>
                <w:szCs w:val="20"/>
                <w:lang w:val="en-GB" w:eastAsia="zh-CN" w:bidi="ar-SA"/>
              </w:rPr>
              <w:t>2）</w:t>
            </w:r>
            <w:r>
              <w:rPr>
                <w:rFonts w:hint="eastAsia" w:ascii="宋体" w:hAnsi="宋体" w:eastAsia="宋体" w:cs="宋体"/>
                <w:color w:val="auto"/>
                <w:sz w:val="20"/>
                <w:szCs w:val="20"/>
                <w:highlight w:val="none"/>
              </w:rPr>
              <w:t>密封试验： 1.1倍。</w:t>
            </w:r>
          </w:p>
          <w:p w14:paraId="5F148E7F">
            <w:pPr>
              <w:pStyle w:val="8"/>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3）蝶阀内外应经高压喷砂除锈（达到Sa2.5级）处理后，喷涂环氧树脂涂层，涂层厚度应符合国家标准。</w:t>
            </w:r>
          </w:p>
          <w:p w14:paraId="1A13C03F">
            <w:pPr>
              <w:pStyle w:val="8"/>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4）蝶阀的制造应符合GB12238《通用阀门、法兰和对夹连接蝶阀》标准的规定，蝶阀结构长度应符合GB/T12221《金属阀门结构长度》标准中的规定。</w:t>
            </w:r>
          </w:p>
          <w:p w14:paraId="1AC658D4">
            <w:pPr>
              <w:pageBreakBefore w:val="0"/>
              <w:numPr>
                <w:ilvl w:val="0"/>
                <w:numId w:val="5"/>
              </w:numPr>
              <w:kinsoku/>
              <w:wordWrap w:val="0"/>
              <w:topLinePunct w:val="0"/>
              <w:bidi w:val="0"/>
              <w:spacing w:line="400" w:lineRule="exact"/>
              <w:ind w:left="0" w:leftChars="0" w:firstLine="0" w:firstLineChars="0"/>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材料</w:t>
            </w:r>
          </w:p>
          <w:p w14:paraId="6185C7C8">
            <w:pPr>
              <w:pStyle w:val="8"/>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门的所有零件部件、密封件、防腐涂料均不得采用对自来水造成污染的材料，阀门材料的卫生条件必须符合GB17219《生活饮用水输配水设备及防护材料的安全性评价标准》要求，防护涂料、密封橡胶要有地方级以上(包括地方级)卫生部门提供的防疫鉴定报告。</w:t>
            </w:r>
          </w:p>
          <w:p w14:paraId="42A434C8">
            <w:pPr>
              <w:pStyle w:val="8"/>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蝶阀主要部件材质应不低于下表规定。</w:t>
            </w:r>
          </w:p>
          <w:p w14:paraId="73A452F3">
            <w:pPr>
              <w:pStyle w:val="8"/>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Calibri" w:hAnsi="Calibri" w:eastAsia="宋体"/>
                <w:color w:val="auto"/>
                <w:spacing w:val="0"/>
                <w:sz w:val="20"/>
                <w:szCs w:val="20"/>
                <w:highlight w:val="none"/>
              </w:rPr>
              <w:t>★</w:t>
            </w:r>
            <w:r>
              <w:rPr>
                <w:rFonts w:hint="eastAsia" w:ascii="宋体" w:hAnsi="宋体" w:eastAsia="宋体" w:cs="宋体"/>
                <w:color w:val="auto"/>
                <w:sz w:val="20"/>
                <w:szCs w:val="20"/>
                <w:highlight w:val="none"/>
              </w:rPr>
              <w:t>蝶阀主要部件材质</w:t>
            </w:r>
          </w:p>
          <w:tbl>
            <w:tblPr>
              <w:tblStyle w:val="13"/>
              <w:tblW w:w="5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3897"/>
            </w:tblGrid>
            <w:tr w14:paraId="5367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05C67600">
                  <w:pPr>
                    <w:pageBreakBefore w:val="0"/>
                    <w:kinsoku/>
                    <w:wordWrap w:val="0"/>
                    <w:topLinePunct w:val="0"/>
                    <w:bidi w:val="0"/>
                    <w:spacing w:line="400" w:lineRule="exact"/>
                    <w:rPr>
                      <w:rFonts w:hint="eastAsia" w:ascii="宋体" w:hAnsi="宋体" w:eastAsia="宋体" w:cs="宋体"/>
                      <w:color w:val="auto"/>
                      <w:sz w:val="20"/>
                      <w:szCs w:val="20"/>
                      <w:highlight w:val="none"/>
                    </w:rPr>
                  </w:pPr>
                  <w:bookmarkStart w:id="6" w:name="_Toc45896768"/>
                  <w:r>
                    <w:rPr>
                      <w:rFonts w:hint="eastAsia" w:ascii="宋体" w:hAnsi="宋体" w:eastAsia="宋体" w:cs="宋体"/>
                      <w:color w:val="auto"/>
                      <w:sz w:val="20"/>
                      <w:szCs w:val="20"/>
                      <w:highlight w:val="none"/>
                    </w:rPr>
                    <w:t>主要零部件名称</w:t>
                  </w:r>
                </w:p>
              </w:tc>
              <w:tc>
                <w:tcPr>
                  <w:tcW w:w="3897" w:type="dxa"/>
                  <w:vAlign w:val="center"/>
                </w:tcPr>
                <w:p w14:paraId="2295FAD2">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材质（等于或优于以下材质）</w:t>
                  </w:r>
                </w:p>
              </w:tc>
            </w:tr>
            <w:tr w14:paraId="4384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5AFCE62D">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阀体</w:t>
                  </w:r>
                </w:p>
              </w:tc>
              <w:tc>
                <w:tcPr>
                  <w:tcW w:w="3897" w:type="dxa"/>
                  <w:vAlign w:val="center"/>
                </w:tcPr>
                <w:p w14:paraId="294970BD">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1325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982" w:type="dxa"/>
                  <w:vAlign w:val="center"/>
                </w:tcPr>
                <w:p w14:paraId="28FCB078">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阀板</w:t>
                  </w:r>
                </w:p>
              </w:tc>
              <w:tc>
                <w:tcPr>
                  <w:tcW w:w="3897" w:type="dxa"/>
                  <w:vAlign w:val="center"/>
                </w:tcPr>
                <w:p w14:paraId="7C5D325E">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1BE2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25CE6276">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阀轴</w:t>
                  </w:r>
                </w:p>
              </w:tc>
              <w:tc>
                <w:tcPr>
                  <w:tcW w:w="3897" w:type="dxa"/>
                  <w:vAlign w:val="center"/>
                </w:tcPr>
                <w:p w14:paraId="31404B59">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不锈钢2Cr13</w:t>
                  </w:r>
                </w:p>
              </w:tc>
            </w:tr>
            <w:tr w14:paraId="2E71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196CD076">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阀座</w:t>
                  </w:r>
                </w:p>
              </w:tc>
              <w:tc>
                <w:tcPr>
                  <w:tcW w:w="3897" w:type="dxa"/>
                  <w:vAlign w:val="center"/>
                </w:tcPr>
                <w:p w14:paraId="1762232E">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不锈钢OCr18Ni9</w:t>
                  </w:r>
                </w:p>
              </w:tc>
            </w:tr>
            <w:tr w14:paraId="5B74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5FC4051B">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轴承</w:t>
                  </w:r>
                </w:p>
              </w:tc>
              <w:tc>
                <w:tcPr>
                  <w:tcW w:w="3897" w:type="dxa"/>
                  <w:vAlign w:val="center"/>
                </w:tcPr>
                <w:p w14:paraId="0EC506BA">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铜基复合材料（自润滑）</w:t>
                  </w:r>
                </w:p>
                <w:p w14:paraId="3B952D3F">
                  <w:pPr>
                    <w:pageBreakBefore w:val="0"/>
                    <w:kinsoku/>
                    <w:wordWrap w:val="0"/>
                    <w:topLinePunct w:val="0"/>
                    <w:bidi w:val="0"/>
                    <w:spacing w:line="400" w:lineRule="exact"/>
                    <w:rPr>
                      <w:rFonts w:hint="eastAsia" w:ascii="宋体" w:hAnsi="宋体" w:eastAsia="宋体" w:cs="宋体"/>
                      <w:color w:val="auto"/>
                      <w:sz w:val="20"/>
                      <w:szCs w:val="20"/>
                      <w:highlight w:val="none"/>
                    </w:rPr>
                  </w:pPr>
                </w:p>
              </w:tc>
            </w:tr>
            <w:tr w14:paraId="5576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5BDD063E">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阀板密封圈</w:t>
                  </w:r>
                </w:p>
              </w:tc>
              <w:tc>
                <w:tcPr>
                  <w:tcW w:w="3897" w:type="dxa"/>
                  <w:vAlign w:val="center"/>
                </w:tcPr>
                <w:p w14:paraId="588B4225">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丁腈橡胶NBR</w:t>
                  </w:r>
                </w:p>
              </w:tc>
            </w:tr>
            <w:tr w14:paraId="2808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44417B50">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阀销</w:t>
                  </w:r>
                </w:p>
              </w:tc>
              <w:tc>
                <w:tcPr>
                  <w:tcW w:w="3897" w:type="dxa"/>
                  <w:vAlign w:val="center"/>
                </w:tcPr>
                <w:p w14:paraId="232557C0">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不锈钢2Cr13</w:t>
                  </w:r>
                </w:p>
              </w:tc>
            </w:tr>
            <w:tr w14:paraId="3E41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2B0E6374">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阀轴密封圈</w:t>
                  </w:r>
                </w:p>
              </w:tc>
              <w:tc>
                <w:tcPr>
                  <w:tcW w:w="3897" w:type="dxa"/>
                  <w:vAlign w:val="center"/>
                </w:tcPr>
                <w:p w14:paraId="1BA263C4">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丁腈橡胶NBR</w:t>
                  </w:r>
                </w:p>
              </w:tc>
            </w:tr>
            <w:tr w14:paraId="05AE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0A0716BB">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手轮</w:t>
                  </w:r>
                </w:p>
              </w:tc>
              <w:tc>
                <w:tcPr>
                  <w:tcW w:w="3897" w:type="dxa"/>
                  <w:vAlign w:val="center"/>
                </w:tcPr>
                <w:p w14:paraId="3ABF8AB1">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2FD2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497DB44A">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TW" w:eastAsia="zh-TW"/>
                    </w:rPr>
                    <w:t>传动蜗轮</w:t>
                  </w:r>
                </w:p>
              </w:tc>
              <w:tc>
                <w:tcPr>
                  <w:tcW w:w="3897" w:type="dxa"/>
                  <w:vAlign w:val="center"/>
                </w:tcPr>
                <w:p w14:paraId="53604243">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78A7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1982" w:type="dxa"/>
                  <w:vAlign w:val="center"/>
                </w:tcPr>
                <w:p w14:paraId="03F5B9E6">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TW" w:eastAsia="zh-TW"/>
                    </w:rPr>
                    <w:t>蜗杆</w:t>
                  </w:r>
                </w:p>
              </w:tc>
              <w:tc>
                <w:tcPr>
                  <w:tcW w:w="3897" w:type="dxa"/>
                  <w:vAlign w:val="center"/>
                </w:tcPr>
                <w:p w14:paraId="1E16F929">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TW" w:eastAsia="zh-TW"/>
                    </w:rPr>
                    <w:t>不锈钢</w:t>
                  </w:r>
                  <w:r>
                    <w:rPr>
                      <w:rFonts w:hint="eastAsia" w:ascii="宋体" w:hAnsi="宋体" w:eastAsia="宋体" w:cs="宋体"/>
                      <w:color w:val="auto"/>
                      <w:sz w:val="20"/>
                      <w:szCs w:val="20"/>
                      <w:highlight w:val="none"/>
                    </w:rPr>
                    <w:t>45#或40Cr</w:t>
                  </w:r>
                </w:p>
              </w:tc>
            </w:tr>
          </w:tbl>
          <w:p w14:paraId="7BA7B442">
            <w:pPr>
              <w:pStyle w:val="7"/>
              <w:pageBreakBefore w:val="0"/>
              <w:kinsoku/>
              <w:wordWrap w:val="0"/>
              <w:topLinePunct w:val="0"/>
              <w:bidi w:val="0"/>
              <w:spacing w:line="400" w:lineRule="exact"/>
              <w:ind w:firstLine="0"/>
              <w:rPr>
                <w:rFonts w:hint="eastAsia" w:ascii="宋体" w:hAnsi="宋体" w:eastAsia="宋体" w:cs="宋体"/>
                <w:color w:val="auto"/>
                <w:sz w:val="20"/>
                <w:szCs w:val="20"/>
                <w:highlight w:val="none"/>
              </w:rPr>
            </w:pPr>
          </w:p>
          <w:p w14:paraId="3C4DBA91">
            <w:pPr>
              <w:pageBreakBefore w:val="0"/>
              <w:numPr>
                <w:ilvl w:val="0"/>
                <w:numId w:val="6"/>
              </w:numPr>
              <w:kinsoku/>
              <w:wordWrap w:val="0"/>
              <w:topLinePunct w:val="0"/>
              <w:bidi w:val="0"/>
              <w:spacing w:line="400" w:lineRule="exact"/>
              <w:ind w:left="0" w:leftChars="0" w:firstLine="0" w:firstLineChars="0"/>
              <w:outlineLvl w:val="1"/>
              <w:rPr>
                <w:rFonts w:hint="eastAsia" w:ascii="宋体" w:hAnsi="宋体" w:eastAsia="宋体" w:cs="宋体"/>
                <w:color w:val="auto"/>
                <w:sz w:val="20"/>
                <w:szCs w:val="20"/>
                <w:highlight w:val="none"/>
              </w:rPr>
            </w:pPr>
            <w:bookmarkStart w:id="7" w:name="_Toc23702"/>
            <w:bookmarkStart w:id="8" w:name="_Toc8642"/>
            <w:bookmarkStart w:id="9" w:name="_Toc15633"/>
            <w:bookmarkStart w:id="10" w:name="_Toc13856"/>
            <w:bookmarkStart w:id="11" w:name="_Toc17256"/>
            <w:r>
              <w:rPr>
                <w:rFonts w:hint="eastAsia" w:ascii="宋体" w:hAnsi="宋体" w:eastAsia="宋体" w:cs="宋体"/>
                <w:color w:val="auto"/>
                <w:sz w:val="20"/>
                <w:szCs w:val="20"/>
                <w:highlight w:val="none"/>
              </w:rPr>
              <w:t>复合式高速进排气阀</w:t>
            </w:r>
            <w:bookmarkEnd w:id="6"/>
            <w:bookmarkEnd w:id="7"/>
            <w:bookmarkEnd w:id="8"/>
            <w:bookmarkEnd w:id="9"/>
            <w:bookmarkEnd w:id="10"/>
            <w:bookmarkEnd w:id="11"/>
          </w:p>
          <w:p w14:paraId="39EF33E9">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bookmarkStart w:id="12" w:name="_GoBack"/>
            <w:bookmarkEnd w:id="12"/>
            <w:r>
              <w:rPr>
                <w:rFonts w:hint="eastAsia" w:ascii="宋体" w:hAnsi="宋体" w:eastAsia="宋体" w:cs="宋体"/>
                <w:color w:val="auto"/>
                <w:sz w:val="20"/>
                <w:szCs w:val="20"/>
                <w:highlight w:val="none"/>
              </w:rPr>
              <w:t>设计制造标准：</w:t>
            </w:r>
          </w:p>
          <w:p w14:paraId="6990E96F">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空气阀应满足《CJ/T 217给水管道复合式高速进排气阀》标准要求。</w:t>
            </w:r>
          </w:p>
          <w:p w14:paraId="5B517352">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一般技术要求：</w:t>
            </w:r>
          </w:p>
          <w:p w14:paraId="7CB86B18">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空气阀应采用全新的合理的工艺和耐用性设计，并且具有适合当地工作环境及使用条件的等级和质量。所有的空气阀零部件应严格精确制造，并能与同类型零部件互换使用。</w:t>
            </w:r>
          </w:p>
          <w:p w14:paraId="710AE6E3">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阀门型式是复合式空气阀，能自动排除系统正常运行中产生的气体；在系统充水时能排除大量气体；在检修排空或事故爆管等情况下，空气阀应迅速开启向管内补气，以避免管线产生负压。</w:t>
            </w:r>
          </w:p>
          <w:p w14:paraId="77F37464">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空气阀应保证在任何工况下都不会出现高速排放的气流吹动作用导致气闭现象，致使管道内空气不能排净。</w:t>
            </w:r>
          </w:p>
          <w:p w14:paraId="38E5FCF0">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空气阀运行时应无机械噪音和振动。</w:t>
            </w:r>
          </w:p>
          <w:p w14:paraId="2B68E02C">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空气阀的密封件具有良好的密封效果和耐用性，使用寿命不低于10年。</w:t>
            </w:r>
          </w:p>
          <w:p w14:paraId="5C5233D7">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空气阀必须有省级检测站的检测报告。</w:t>
            </w:r>
          </w:p>
          <w:p w14:paraId="368A623E">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必须提供流场分析报告；必须提供进气、排气性能曲线图。</w:t>
            </w:r>
          </w:p>
          <w:p w14:paraId="2D577C8C">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结构要求</w:t>
            </w:r>
          </w:p>
          <w:p w14:paraId="2292F929">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高速排气阀的阀体为整体铸造，不允许采用焊接件。</w:t>
            </w:r>
          </w:p>
          <w:p w14:paraId="40DDEA04">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空气阀的内部通道应符合流体力学要求，保证进排气通道流畅，无阻碍。</w:t>
            </w:r>
          </w:p>
          <w:p w14:paraId="07EF38C1">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空气阀的橡胶密封面在结构设计上避免完全承受浮球或其它部件传递而来的管道内压，以防止出现密封橡胶被压溃，粘连以及长期持续承压导致的橡胶加速老化等故障。</w:t>
            </w:r>
          </w:p>
          <w:p w14:paraId="563821F3">
            <w:pPr>
              <w:pageBreakBefore w:val="0"/>
              <w:kinsoku/>
              <w:wordWrap w:val="0"/>
              <w:topLinePunct w:val="0"/>
              <w:bidi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单片阀座，与浮球双线密封确保密封严密，密封可靠，特殊密封设计。</w:t>
            </w:r>
          </w:p>
          <w:p w14:paraId="64561111">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空气阀的内部结构设计应保证低压进排气通道完全畅通，所有阀内部件在快速进气和排气的工况下对气流无阻碍作用，以避免发生高速气流对内部活动部件产生扰动，撞击阀体，导致其变形或破裂。</w:t>
            </w:r>
          </w:p>
          <w:p w14:paraId="67EF860D">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对运行期间可能发生损坏的部位，空气阀应设计为不需要从管道上整体拆卸下来的情况下就能够使易损部件更换掉。</w:t>
            </w:r>
          </w:p>
          <w:p w14:paraId="7C13D6D9">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性能要求</w:t>
            </w:r>
          </w:p>
          <w:p w14:paraId="38836F88">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空气阀应具有微量和大量两种排气功能，管线初次充水时进行快速排气，正常运行时可随时排除积聚在管道内的气体。</w:t>
            </w:r>
          </w:p>
          <w:p w14:paraId="4A274047">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在最大排气压差0.1MPa下，浮球都不会被吹起而发生吹堵现象。</w:t>
            </w:r>
          </w:p>
          <w:p w14:paraId="0434C142">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空气阀在工作时应具有较小的噪音。</w:t>
            </w:r>
          </w:p>
          <w:p w14:paraId="23036DDF">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空气阀须具有高速排气能力。当空管充水时，要求空气阀完全避免管道内空气没有排空时，空气阀就关闭的现象，以保证管道充水的顺利进行。</w:t>
            </w:r>
          </w:p>
          <w:p w14:paraId="6C566A8C">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空气阀的最大吸补气能力须能满足事故检修水泵强排，以及事故爆管沿管道最大坡度重力自流两种工况下管道排水时补气的要求。</w:t>
            </w:r>
          </w:p>
          <w:p w14:paraId="36D2A812">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在输水干管道内水头压力低至0.02MPa时空气阀仍应具有良好的密封性能，不允许发生低压溢水现象。</w:t>
            </w:r>
          </w:p>
          <w:p w14:paraId="5FFC305C">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空气阀在完全关闭时，阀体和阀座应具有可靠的密封，无渗漏。</w:t>
            </w:r>
          </w:p>
          <w:p w14:paraId="049E7B86">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材料要求</w:t>
            </w:r>
          </w:p>
          <w:p w14:paraId="25E334E8">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阀门制造材料的选择应避免各种材料之间产生的电解反应、锈蚀作用，避免水中杂质的腐蚀。与水接触部分的材料，应不产生异味、臭味、毒性或者有损人体健康并直接影响水质。</w:t>
            </w:r>
          </w:p>
          <w:p w14:paraId="26FC6E77">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空气阀的阀体材质为球墨铸铁或更优材质。</w:t>
            </w:r>
          </w:p>
          <w:p w14:paraId="00DD4302">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空气阀的全部部件应采用优质材料和优良的制造工艺，部件之间不得使用焊接工艺连接，以避免发生开焊，破裂和变形等故障。</w:t>
            </w:r>
          </w:p>
          <w:p w14:paraId="737CA3DF">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空气阀的所有金属部件必须进行防腐处理或使用防腐材料。外部喷涂采用环保型无毒涂料，空气阀的内腔喷涂应采用环保无毒可应用于饮用水的食品级涂料。</w:t>
            </w:r>
          </w:p>
          <w:p w14:paraId="276309E5">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b/>
                <w:color w:val="auto"/>
                <w:sz w:val="20"/>
                <w:szCs w:val="20"/>
                <w:highlight w:val="none"/>
              </w:rPr>
            </w:pPr>
            <w:r>
              <w:rPr>
                <w:rFonts w:hint="eastAsia" w:ascii="Calibri" w:hAnsi="Calibri" w:eastAsia="宋体"/>
                <w:color w:val="auto"/>
                <w:spacing w:val="0"/>
                <w:sz w:val="20"/>
                <w:szCs w:val="20"/>
                <w:highlight w:val="none"/>
              </w:rPr>
              <w:t>★</w:t>
            </w:r>
            <w:r>
              <w:rPr>
                <w:rFonts w:hint="eastAsia" w:ascii="宋体" w:hAnsi="宋体" w:eastAsia="宋体" w:cs="宋体"/>
                <w:b/>
                <w:color w:val="auto"/>
                <w:sz w:val="20"/>
                <w:szCs w:val="20"/>
                <w:highlight w:val="none"/>
              </w:rPr>
              <w:t>主要零件材质</w:t>
            </w:r>
          </w:p>
          <w:tbl>
            <w:tblPr>
              <w:tblStyle w:val="13"/>
              <w:tblW w:w="787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682"/>
              <w:gridCol w:w="4117"/>
            </w:tblGrid>
            <w:tr w14:paraId="14F7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50E51EF0">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2682" w:type="dxa"/>
                </w:tcPr>
                <w:p w14:paraId="0060404B">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名称</w:t>
                  </w:r>
                </w:p>
              </w:tc>
              <w:tc>
                <w:tcPr>
                  <w:tcW w:w="4117" w:type="dxa"/>
                </w:tcPr>
                <w:p w14:paraId="1AFFAC92">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材料</w:t>
                  </w:r>
                </w:p>
              </w:tc>
            </w:tr>
            <w:tr w14:paraId="587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42078B5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682" w:type="dxa"/>
                </w:tcPr>
                <w:p w14:paraId="5531DA0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  体</w:t>
                  </w:r>
                </w:p>
              </w:tc>
              <w:tc>
                <w:tcPr>
                  <w:tcW w:w="4117" w:type="dxa"/>
                </w:tcPr>
                <w:p w14:paraId="3DFB1690">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6366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1157EF29">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682" w:type="dxa"/>
                </w:tcPr>
                <w:p w14:paraId="2648B6C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  盖</w:t>
                  </w:r>
                </w:p>
              </w:tc>
              <w:tc>
                <w:tcPr>
                  <w:tcW w:w="4117" w:type="dxa"/>
                </w:tcPr>
                <w:p w14:paraId="7B4E95F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0091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47CB9A56">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2682" w:type="dxa"/>
                  <w:vAlign w:val="center"/>
                </w:tcPr>
                <w:p w14:paraId="0826EE1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密封件</w:t>
                  </w:r>
                </w:p>
              </w:tc>
              <w:tc>
                <w:tcPr>
                  <w:tcW w:w="4117" w:type="dxa"/>
                  <w:vAlign w:val="center"/>
                </w:tcPr>
                <w:p w14:paraId="1B717D8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丁腈橡胶</w:t>
                  </w:r>
                </w:p>
              </w:tc>
            </w:tr>
            <w:tr w14:paraId="2851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6DC6C581">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2682" w:type="dxa"/>
                </w:tcPr>
                <w:p w14:paraId="44892FF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  杆</w:t>
                  </w:r>
                </w:p>
              </w:tc>
              <w:tc>
                <w:tcPr>
                  <w:tcW w:w="4117" w:type="dxa"/>
                </w:tcPr>
                <w:p w14:paraId="6F8DE93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w:t>
                  </w:r>
                </w:p>
              </w:tc>
            </w:tr>
            <w:tr w14:paraId="3590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75" w:type="dxa"/>
                </w:tcPr>
                <w:p w14:paraId="6B4AD54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2682" w:type="dxa"/>
                </w:tcPr>
                <w:p w14:paraId="61B7D82D">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浮  球</w:t>
                  </w:r>
                </w:p>
              </w:tc>
              <w:tc>
                <w:tcPr>
                  <w:tcW w:w="4117" w:type="dxa"/>
                </w:tcPr>
                <w:p w14:paraId="562C5816">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w:t>
                  </w:r>
                </w:p>
              </w:tc>
            </w:tr>
            <w:tr w14:paraId="075B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5" w:type="dxa"/>
                  <w:tcBorders>
                    <w:bottom w:val="single" w:color="auto" w:sz="4" w:space="0"/>
                  </w:tcBorders>
                </w:tcPr>
                <w:p w14:paraId="5B5F425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682" w:type="dxa"/>
                  <w:tcBorders>
                    <w:bottom w:val="single" w:color="auto" w:sz="4" w:space="0"/>
                  </w:tcBorders>
                </w:tcPr>
                <w:p w14:paraId="374B97C1">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浮球支架</w:t>
                  </w:r>
                </w:p>
              </w:tc>
              <w:tc>
                <w:tcPr>
                  <w:tcW w:w="4117" w:type="dxa"/>
                </w:tcPr>
                <w:p w14:paraId="094DCD2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w:t>
                  </w:r>
                </w:p>
              </w:tc>
            </w:tr>
          </w:tbl>
          <w:p w14:paraId="59304111">
            <w:pPr>
              <w:spacing w:line="360" w:lineRule="auto"/>
              <w:jc w:val="both"/>
              <w:rPr>
                <w:rFonts w:hint="eastAsia" w:ascii="宋体" w:hAnsi="宋体" w:eastAsia="宋体" w:cs="宋体"/>
                <w:i w:val="0"/>
                <w:iCs w:val="0"/>
                <w:color w:val="000000"/>
                <w:sz w:val="20"/>
                <w:szCs w:val="20"/>
                <w:u w:val="none"/>
              </w:rPr>
            </w:pPr>
          </w:p>
        </w:tc>
      </w:tr>
    </w:tbl>
    <w:p w14:paraId="4F5D4880">
      <w:pPr>
        <w:pStyle w:val="2"/>
        <w:rPr>
          <w:rFonts w:hint="eastAsia" w:ascii="宋体" w:hAnsi="宋体"/>
          <w:color w:val="000000" w:themeColor="text1"/>
          <w:sz w:val="28"/>
          <w:szCs w:val="28"/>
          <w:highlight w:val="none"/>
          <w14:textFill>
            <w14:solidFill>
              <w14:schemeClr w14:val="tx1"/>
            </w14:solidFill>
          </w14:textFill>
        </w:rPr>
      </w:pPr>
    </w:p>
    <w:p w14:paraId="62B15B08">
      <w:pPr>
        <w:pStyle w:val="2"/>
        <w:rPr>
          <w:rFonts w:hint="eastAsia" w:ascii="宋体" w:hAnsi="宋体"/>
          <w:color w:val="000000" w:themeColor="text1"/>
          <w:sz w:val="28"/>
          <w:szCs w:val="28"/>
          <w:highlight w:val="none"/>
          <w:lang w:val="en-US" w:eastAsia="zh-CN"/>
          <w14:textFill>
            <w14:solidFill>
              <w14:schemeClr w14:val="tx1"/>
            </w14:solidFill>
          </w14:textFill>
        </w:rPr>
      </w:pPr>
    </w:p>
    <w:p w14:paraId="3C53EF39"/>
    <w:p w14:paraId="6D486542">
      <w:r>
        <w:br w:type="page"/>
      </w:r>
    </w:p>
    <w:p w14:paraId="579DC13E">
      <w:pP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报价清单</w:t>
      </w:r>
    </w:p>
    <w:p w14:paraId="33143753">
      <w:pPr>
        <w:pStyle w:val="17"/>
        <w:jc w:val="center"/>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lang w:val="en-US" w:eastAsia="zh-CN"/>
          <w14:textFill>
            <w14:solidFill>
              <w14:schemeClr w14:val="tx1"/>
            </w14:solidFill>
          </w14:textFill>
        </w:rPr>
        <w:t>阀门接头</w:t>
      </w:r>
      <w:r>
        <w:rPr>
          <w:rFonts w:hint="eastAsia" w:ascii="宋体" w:hAnsi="宋体" w:eastAsia="宋体" w:cs="宋体"/>
          <w:color w:val="000000" w:themeColor="text1"/>
          <w:kern w:val="2"/>
          <w:sz w:val="28"/>
          <w:szCs w:val="28"/>
          <w:highlight w:val="none"/>
          <w14:textFill>
            <w14:solidFill>
              <w14:schemeClr w14:val="tx1"/>
            </w14:solidFill>
          </w14:textFill>
        </w:rPr>
        <w:t>类设备报价清单</w:t>
      </w:r>
    </w:p>
    <w:tbl>
      <w:tblPr>
        <w:tblStyle w:val="13"/>
        <w:tblW w:w="10489"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22"/>
        <w:gridCol w:w="1300"/>
        <w:gridCol w:w="856"/>
        <w:gridCol w:w="866"/>
        <w:gridCol w:w="923"/>
        <w:gridCol w:w="1377"/>
        <w:gridCol w:w="1434"/>
        <w:gridCol w:w="1622"/>
      </w:tblGrid>
      <w:tr w14:paraId="0C37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9" w:type="dxa"/>
            <w:vAlign w:val="center"/>
          </w:tcPr>
          <w:p w14:paraId="0DE6B7C7">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序号</w:t>
            </w:r>
          </w:p>
        </w:tc>
        <w:tc>
          <w:tcPr>
            <w:tcW w:w="1322" w:type="dxa"/>
            <w:tcBorders>
              <w:bottom w:val="single" w:color="auto" w:sz="4" w:space="0"/>
            </w:tcBorders>
            <w:vAlign w:val="center"/>
          </w:tcPr>
          <w:p w14:paraId="44545AF0">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设备名称</w:t>
            </w:r>
          </w:p>
        </w:tc>
        <w:tc>
          <w:tcPr>
            <w:tcW w:w="1300" w:type="dxa"/>
            <w:vAlign w:val="center"/>
          </w:tcPr>
          <w:p w14:paraId="4DDD2600">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规格型号</w:t>
            </w:r>
          </w:p>
        </w:tc>
        <w:tc>
          <w:tcPr>
            <w:tcW w:w="856" w:type="dxa"/>
            <w:vAlign w:val="center"/>
          </w:tcPr>
          <w:p w14:paraId="2EA6901D">
            <w:pPr>
              <w:jc w:val="center"/>
              <w:rPr>
                <w:rFonts w:hint="eastAsia" w:hAnsi="宋体" w:eastAsia="宋体"/>
                <w:b/>
                <w:color w:val="000000" w:themeColor="text1"/>
                <w:sz w:val="24"/>
                <w:highlight w:val="none"/>
                <w:lang w:val="en-US" w:eastAsia="zh-CN"/>
                <w14:textFill>
                  <w14:solidFill>
                    <w14:schemeClr w14:val="tx1"/>
                  </w14:solidFill>
                </w14:textFill>
              </w:rPr>
            </w:pPr>
            <w:r>
              <w:rPr>
                <w:rFonts w:hint="eastAsia" w:hAnsi="宋体"/>
                <w:b/>
                <w:color w:val="000000" w:themeColor="text1"/>
                <w:sz w:val="24"/>
                <w:highlight w:val="none"/>
                <w:lang w:val="en-US" w:eastAsia="zh-CN"/>
                <w14:textFill>
                  <w14:solidFill>
                    <w14:schemeClr w14:val="tx1"/>
                  </w14:solidFill>
                </w14:textFill>
              </w:rPr>
              <w:t>材质</w:t>
            </w:r>
          </w:p>
        </w:tc>
        <w:tc>
          <w:tcPr>
            <w:tcW w:w="866" w:type="dxa"/>
            <w:vAlign w:val="center"/>
          </w:tcPr>
          <w:p w14:paraId="4E6F86C5">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单位</w:t>
            </w:r>
          </w:p>
        </w:tc>
        <w:tc>
          <w:tcPr>
            <w:tcW w:w="923" w:type="dxa"/>
            <w:vAlign w:val="center"/>
          </w:tcPr>
          <w:p w14:paraId="3BF8DAEE">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数量</w:t>
            </w:r>
          </w:p>
        </w:tc>
        <w:tc>
          <w:tcPr>
            <w:tcW w:w="1377" w:type="dxa"/>
            <w:vAlign w:val="center"/>
          </w:tcPr>
          <w:p w14:paraId="21BDDD12">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单价(元)</w:t>
            </w:r>
          </w:p>
        </w:tc>
        <w:tc>
          <w:tcPr>
            <w:tcW w:w="1434" w:type="dxa"/>
            <w:vAlign w:val="center"/>
          </w:tcPr>
          <w:p w14:paraId="7D6DD32B">
            <w:pPr>
              <w:jc w:val="both"/>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总价（元）</w:t>
            </w:r>
          </w:p>
        </w:tc>
        <w:tc>
          <w:tcPr>
            <w:tcW w:w="1622" w:type="dxa"/>
            <w:vAlign w:val="center"/>
          </w:tcPr>
          <w:p w14:paraId="1B14BC91">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备注</w:t>
            </w:r>
          </w:p>
        </w:tc>
      </w:tr>
      <w:tr w14:paraId="482F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35AFBEE2">
            <w:pPr>
              <w:widowControl/>
              <w:jc w:val="center"/>
              <w:textAlignment w:val="center"/>
              <w:rPr>
                <w:rFonts w:hAnsi="宋体"/>
                <w:color w:val="000000" w:themeColor="text1"/>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1</w:t>
            </w:r>
          </w:p>
        </w:tc>
        <w:tc>
          <w:tcPr>
            <w:tcW w:w="1322" w:type="dxa"/>
            <w:tcBorders>
              <w:top w:val="single" w:color="auto" w:sz="4" w:space="0"/>
              <w:left w:val="single" w:color="auto" w:sz="4" w:space="0"/>
              <w:right w:val="single" w:color="auto" w:sz="4" w:space="0"/>
            </w:tcBorders>
            <w:vAlign w:val="center"/>
          </w:tcPr>
          <w:p w14:paraId="65854BDF">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4C566D98">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641CB31C">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5225AADA">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303F401B">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8564575">
            <w:pPr>
              <w:jc w:val="center"/>
              <w:rPr>
                <w:rFonts w:hAnsi="宋体"/>
                <w:color w:val="000000" w:themeColor="text1"/>
                <w:sz w:val="24"/>
                <w:highlight w:val="none"/>
                <w14:textFill>
                  <w14:solidFill>
                    <w14:schemeClr w14:val="tx1"/>
                  </w14:solidFill>
                </w14:textFill>
              </w:rPr>
            </w:pPr>
          </w:p>
        </w:tc>
        <w:tc>
          <w:tcPr>
            <w:tcW w:w="1434" w:type="dxa"/>
            <w:vAlign w:val="center"/>
          </w:tcPr>
          <w:p w14:paraId="6E28DFDE">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625CCE85">
            <w:pPr>
              <w:widowControl/>
              <w:jc w:val="center"/>
              <w:textAlignment w:val="bottom"/>
              <w:rPr>
                <w:rFonts w:hAnsi="宋体"/>
                <w:color w:val="000000" w:themeColor="text1"/>
                <w:kern w:val="0"/>
                <w:sz w:val="24"/>
                <w:highlight w:val="none"/>
                <w14:textFill>
                  <w14:solidFill>
                    <w14:schemeClr w14:val="tx1"/>
                  </w14:solidFill>
                </w14:textFill>
              </w:rPr>
            </w:pPr>
          </w:p>
        </w:tc>
      </w:tr>
      <w:tr w14:paraId="23AD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71A0B96C">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2</w:t>
            </w:r>
          </w:p>
        </w:tc>
        <w:tc>
          <w:tcPr>
            <w:tcW w:w="1322" w:type="dxa"/>
            <w:tcBorders>
              <w:top w:val="single" w:color="auto" w:sz="4" w:space="0"/>
              <w:left w:val="single" w:color="auto" w:sz="4" w:space="0"/>
              <w:right w:val="single" w:color="auto" w:sz="4" w:space="0"/>
            </w:tcBorders>
            <w:vAlign w:val="center"/>
          </w:tcPr>
          <w:p w14:paraId="29224CC7">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6A9D66FF">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6D23C9A7">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778BD417">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1390985C">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67B3A0FB">
            <w:pPr>
              <w:jc w:val="center"/>
              <w:rPr>
                <w:rFonts w:hAnsi="宋体"/>
                <w:color w:val="000000" w:themeColor="text1"/>
                <w:sz w:val="24"/>
                <w:highlight w:val="none"/>
                <w14:textFill>
                  <w14:solidFill>
                    <w14:schemeClr w14:val="tx1"/>
                  </w14:solidFill>
                </w14:textFill>
              </w:rPr>
            </w:pPr>
          </w:p>
        </w:tc>
        <w:tc>
          <w:tcPr>
            <w:tcW w:w="1434" w:type="dxa"/>
            <w:vAlign w:val="center"/>
          </w:tcPr>
          <w:p w14:paraId="2E424315">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471B5420">
            <w:pPr>
              <w:widowControl/>
              <w:jc w:val="center"/>
              <w:textAlignment w:val="bottom"/>
              <w:rPr>
                <w:rFonts w:hAnsi="宋体"/>
                <w:color w:val="000000" w:themeColor="text1"/>
                <w:kern w:val="0"/>
                <w:sz w:val="24"/>
                <w:highlight w:val="none"/>
                <w14:textFill>
                  <w14:solidFill>
                    <w14:schemeClr w14:val="tx1"/>
                  </w14:solidFill>
                </w14:textFill>
              </w:rPr>
            </w:pPr>
          </w:p>
        </w:tc>
      </w:tr>
      <w:tr w14:paraId="14A3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165E9103">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3</w:t>
            </w:r>
          </w:p>
        </w:tc>
        <w:tc>
          <w:tcPr>
            <w:tcW w:w="1322" w:type="dxa"/>
            <w:tcBorders>
              <w:top w:val="single" w:color="auto" w:sz="4" w:space="0"/>
              <w:left w:val="single" w:color="auto" w:sz="4" w:space="0"/>
              <w:right w:val="single" w:color="auto" w:sz="4" w:space="0"/>
            </w:tcBorders>
            <w:vAlign w:val="center"/>
          </w:tcPr>
          <w:p w14:paraId="118D72BF">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1BA5878B">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5F551AD0">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2AA9DB03">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30618015">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EC4EB03">
            <w:pPr>
              <w:jc w:val="center"/>
              <w:rPr>
                <w:rFonts w:hAnsi="宋体"/>
                <w:color w:val="000000" w:themeColor="text1"/>
                <w:sz w:val="24"/>
                <w:highlight w:val="none"/>
                <w14:textFill>
                  <w14:solidFill>
                    <w14:schemeClr w14:val="tx1"/>
                  </w14:solidFill>
                </w14:textFill>
              </w:rPr>
            </w:pPr>
          </w:p>
        </w:tc>
        <w:tc>
          <w:tcPr>
            <w:tcW w:w="1434" w:type="dxa"/>
            <w:vAlign w:val="center"/>
          </w:tcPr>
          <w:p w14:paraId="7D35D7DD">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580188EB">
            <w:pPr>
              <w:widowControl/>
              <w:jc w:val="center"/>
              <w:textAlignment w:val="bottom"/>
              <w:rPr>
                <w:rFonts w:hAnsi="宋体"/>
                <w:color w:val="000000" w:themeColor="text1"/>
                <w:kern w:val="0"/>
                <w:sz w:val="24"/>
                <w:highlight w:val="none"/>
                <w14:textFill>
                  <w14:solidFill>
                    <w14:schemeClr w14:val="tx1"/>
                  </w14:solidFill>
                </w14:textFill>
              </w:rPr>
            </w:pPr>
          </w:p>
        </w:tc>
      </w:tr>
      <w:tr w14:paraId="554D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51659D59">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w:t>
            </w:r>
          </w:p>
        </w:tc>
        <w:tc>
          <w:tcPr>
            <w:tcW w:w="1322" w:type="dxa"/>
            <w:tcBorders>
              <w:top w:val="single" w:color="auto" w:sz="4" w:space="0"/>
              <w:left w:val="single" w:color="auto" w:sz="4" w:space="0"/>
              <w:right w:val="single" w:color="auto" w:sz="4" w:space="0"/>
            </w:tcBorders>
            <w:vAlign w:val="center"/>
          </w:tcPr>
          <w:p w14:paraId="04141F5B">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081D2312">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2E2EC90D">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7F8A22B4">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42FA82D0">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D971A71">
            <w:pPr>
              <w:jc w:val="center"/>
              <w:rPr>
                <w:rFonts w:hAnsi="宋体"/>
                <w:color w:val="000000" w:themeColor="text1"/>
                <w:sz w:val="24"/>
                <w:highlight w:val="none"/>
                <w14:textFill>
                  <w14:solidFill>
                    <w14:schemeClr w14:val="tx1"/>
                  </w14:solidFill>
                </w14:textFill>
              </w:rPr>
            </w:pPr>
          </w:p>
        </w:tc>
        <w:tc>
          <w:tcPr>
            <w:tcW w:w="1434" w:type="dxa"/>
            <w:vAlign w:val="center"/>
          </w:tcPr>
          <w:p w14:paraId="2C19FA8E">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7CDAC989">
            <w:pPr>
              <w:widowControl/>
              <w:jc w:val="center"/>
              <w:textAlignment w:val="bottom"/>
              <w:rPr>
                <w:rFonts w:hAnsi="宋体"/>
                <w:color w:val="000000" w:themeColor="text1"/>
                <w:kern w:val="0"/>
                <w:sz w:val="24"/>
                <w:highlight w:val="none"/>
                <w14:textFill>
                  <w14:solidFill>
                    <w14:schemeClr w14:val="tx1"/>
                  </w14:solidFill>
                </w14:textFill>
              </w:rPr>
            </w:pPr>
          </w:p>
        </w:tc>
      </w:tr>
      <w:tr w14:paraId="11E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9" w:type="dxa"/>
            <w:vAlign w:val="center"/>
          </w:tcPr>
          <w:p w14:paraId="052C6D99">
            <w:pPr>
              <w:widowControl/>
              <w:jc w:val="left"/>
              <w:textAlignment w:val="center"/>
              <w:rPr>
                <w:rFonts w:hint="eastAsia" w:hAnsi="宋体"/>
                <w:color w:val="000000" w:themeColor="text1"/>
                <w:sz w:val="24"/>
                <w:highlight w:val="none"/>
                <w14:textFill>
                  <w14:solidFill>
                    <w14:schemeClr w14:val="tx1"/>
                  </w14:solidFill>
                </w14:textFill>
              </w:rPr>
            </w:pPr>
          </w:p>
        </w:tc>
        <w:tc>
          <w:tcPr>
            <w:tcW w:w="9700" w:type="dxa"/>
            <w:gridSpan w:val="8"/>
            <w:vAlign w:val="center"/>
          </w:tcPr>
          <w:p w14:paraId="53241AD8">
            <w:pPr>
              <w:widowControl/>
              <w:jc w:val="left"/>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总金额：</w:t>
            </w:r>
            <w:r>
              <w:rPr>
                <w:rFonts w:hint="eastAsia"/>
                <w:color w:val="000000" w:themeColor="text1"/>
                <w:sz w:val="24"/>
                <w:highlight w:val="none"/>
                <w14:textFill>
                  <w14:solidFill>
                    <w14:schemeClr w14:val="tx1"/>
                  </w14:solidFill>
                </w14:textFill>
              </w:rPr>
              <w:t>人民币            元整（￥             ）</w:t>
            </w:r>
          </w:p>
        </w:tc>
      </w:tr>
    </w:tbl>
    <w:p w14:paraId="211AE11D">
      <w:pPr>
        <w:pStyle w:val="10"/>
        <w:spacing w:line="360" w:lineRule="auto"/>
        <w:ind w:left="912" w:hanging="912" w:hangingChars="380"/>
        <w:rPr>
          <w:rFonts w:hAnsi="宋体"/>
          <w:color w:val="000000" w:themeColor="text1"/>
          <w:sz w:val="24"/>
          <w:szCs w:val="24"/>
          <w:highlight w:val="none"/>
          <w14:textFill>
            <w14:solidFill>
              <w14:schemeClr w14:val="tx1"/>
            </w14:solidFill>
          </w14:textFill>
        </w:rPr>
      </w:pPr>
    </w:p>
    <w:p w14:paraId="26785A26">
      <w:pPr>
        <w:pStyle w:val="10"/>
        <w:spacing w:line="360" w:lineRule="auto"/>
        <w:ind w:left="845" w:hanging="844" w:hangingChars="352"/>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注：1. </w:t>
      </w:r>
      <w:r>
        <w:rPr>
          <w:rFonts w:hint="eastAsia" w:hAnsi="宋体"/>
          <w:color w:val="000000" w:themeColor="text1"/>
          <w:sz w:val="24"/>
          <w:szCs w:val="24"/>
          <w:highlight w:val="none"/>
          <w14:textFill>
            <w14:solidFill>
              <w14:schemeClr w14:val="tx1"/>
            </w14:solidFill>
          </w14:textFill>
        </w:rPr>
        <w:t>报价必须包括货物的所有费用，</w:t>
      </w:r>
      <w:r>
        <w:rPr>
          <w:rFonts w:hint="eastAsia" w:hAnsi="宋体"/>
          <w:color w:val="000000" w:themeColor="text1"/>
          <w:sz w:val="24"/>
          <w:szCs w:val="24"/>
          <w:highlight w:val="none"/>
          <w:lang w:val="en-US" w:eastAsia="zh-CN"/>
          <w14:textFill>
            <w14:solidFill>
              <w14:schemeClr w14:val="tx1"/>
            </w14:solidFill>
          </w14:textFill>
        </w:rPr>
        <w:t>包括采购、运输、卸货、管理、利润、税金、保险、协调、售后服务以及所有的不定因素的风险</w:t>
      </w:r>
      <w:r>
        <w:rPr>
          <w:rFonts w:hint="eastAsia" w:hAnsi="宋体"/>
          <w:color w:val="000000" w:themeColor="text1"/>
          <w:sz w:val="24"/>
          <w:szCs w:val="24"/>
          <w:highlight w:val="none"/>
          <w14:textFill>
            <w14:solidFill>
              <w14:schemeClr w14:val="tx1"/>
            </w14:solidFill>
          </w14:textFill>
        </w:rPr>
        <w:t>等。</w:t>
      </w:r>
    </w:p>
    <w:p w14:paraId="3E1FCBD2">
      <w:pPr>
        <w:pStyle w:val="10"/>
        <w:spacing w:line="360" w:lineRule="auto"/>
        <w:ind w:left="630" w:hanging="63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2</w:t>
      </w:r>
      <w:r>
        <w:rPr>
          <w:rFonts w:hAnsi="宋体"/>
          <w:color w:val="000000" w:themeColor="text1"/>
          <w:sz w:val="24"/>
          <w:szCs w:val="24"/>
          <w:highlight w:val="none"/>
          <w14:textFill>
            <w14:solidFill>
              <w14:schemeClr w14:val="tx1"/>
            </w14:solidFill>
          </w14:textFill>
        </w:rPr>
        <w:t>. 上述报价已含</w:t>
      </w:r>
      <w:r>
        <w:rPr>
          <w:rFonts w:hint="eastAsia" w:hAnsi="宋体"/>
          <w:color w:val="000000" w:themeColor="text1"/>
          <w:sz w:val="24"/>
          <w:szCs w:val="24"/>
          <w:highlight w:val="none"/>
          <w:lang w:val="en-US" w:eastAsia="zh-CN"/>
          <w14:textFill>
            <w14:solidFill>
              <w14:schemeClr w14:val="tx1"/>
            </w14:solidFill>
          </w14:textFill>
        </w:rPr>
        <w:t>供应商</w:t>
      </w:r>
      <w:r>
        <w:rPr>
          <w:rFonts w:hAnsi="宋体"/>
          <w:color w:val="000000" w:themeColor="text1"/>
          <w:sz w:val="24"/>
          <w:szCs w:val="24"/>
          <w:highlight w:val="none"/>
          <w14:textFill>
            <w14:solidFill>
              <w14:schemeClr w14:val="tx1"/>
            </w14:solidFill>
          </w14:textFill>
        </w:rPr>
        <w:t>按中国法律规定应</w:t>
      </w:r>
      <w:r>
        <w:rPr>
          <w:rFonts w:hint="eastAsia" w:hAnsi="宋体"/>
          <w:color w:val="000000" w:themeColor="text1"/>
          <w:sz w:val="24"/>
          <w:szCs w:val="24"/>
          <w:highlight w:val="none"/>
          <w14:textFill>
            <w14:solidFill>
              <w14:schemeClr w14:val="tx1"/>
            </w14:solidFill>
          </w14:textFill>
        </w:rPr>
        <w:t>缴纳</w:t>
      </w:r>
      <w:r>
        <w:rPr>
          <w:rFonts w:hAnsi="宋体"/>
          <w:color w:val="000000" w:themeColor="text1"/>
          <w:sz w:val="24"/>
          <w:szCs w:val="24"/>
          <w:highlight w:val="none"/>
          <w14:textFill>
            <w14:solidFill>
              <w14:schemeClr w14:val="tx1"/>
            </w14:solidFill>
          </w14:textFill>
        </w:rPr>
        <w:t>的一切税费。</w:t>
      </w:r>
    </w:p>
    <w:p w14:paraId="729CA3CB">
      <w:pPr>
        <w:pStyle w:val="10"/>
        <w:spacing w:line="360" w:lineRule="auto"/>
        <w:rPr>
          <w:rFonts w:hAnsi="宋体"/>
          <w:color w:val="000000" w:themeColor="text1"/>
          <w:sz w:val="24"/>
          <w:szCs w:val="24"/>
          <w:highlight w:val="none"/>
          <w14:textFill>
            <w14:solidFill>
              <w14:schemeClr w14:val="tx1"/>
            </w14:solidFill>
          </w14:textFill>
        </w:rPr>
      </w:pPr>
    </w:p>
    <w:p w14:paraId="6F2FAC70">
      <w:pPr>
        <w:tabs>
          <w:tab w:val="left" w:pos="9230"/>
        </w:tabs>
        <w:autoSpaceDE w:val="0"/>
        <w:autoSpaceDN w:val="0"/>
        <w:adjustRightInd w:val="0"/>
        <w:spacing w:line="48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供应商</w:t>
      </w:r>
      <w:r>
        <w:rPr>
          <w:rFonts w:hAnsi="宋体"/>
          <w:color w:val="000000" w:themeColor="text1"/>
          <w:sz w:val="24"/>
          <w:highlight w:val="none"/>
          <w14:textFill>
            <w14:solidFill>
              <w14:schemeClr w14:val="tx1"/>
            </w14:solidFill>
          </w14:textFill>
        </w:rPr>
        <w:t xml:space="preserve">（单位公章）：                 </w:t>
      </w:r>
    </w:p>
    <w:p w14:paraId="0008B96B">
      <w:pPr>
        <w:ind w:firstLine="470" w:firstLineChars="196"/>
        <w:rPr>
          <w:rFonts w:ascii="宋体" w:hAnsi="宋体"/>
          <w:b/>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日   期：</w:t>
      </w:r>
    </w:p>
    <w:p w14:paraId="6E81D24F">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lvlText w:val="%1."/>
      <w:lvlJc w:val="left"/>
      <w:pPr>
        <w:tabs>
          <w:tab w:val="left" w:pos="425"/>
        </w:tabs>
        <w:ind w:left="425" w:hanging="425"/>
      </w:pPr>
      <w:rPr>
        <w:rFonts w:hint="default"/>
      </w:rPr>
    </w:lvl>
  </w:abstractNum>
  <w:abstractNum w:abstractNumId="1">
    <w:nsid w:val="513575C8"/>
    <w:multiLevelType w:val="multilevel"/>
    <w:tmpl w:val="513575C8"/>
    <w:lvl w:ilvl="0" w:tentative="0">
      <w:start w:val="1"/>
      <w:numFmt w:val="none"/>
      <w:suff w:val="nothing"/>
      <w:lvlText w:val=""/>
      <w:lvlJc w:val="left"/>
      <w:pPr>
        <w:ind w:left="0" w:firstLine="0"/>
      </w:pPr>
      <w:rPr>
        <w:rFonts w:hint="default" w:ascii="宋体" w:hAnsi="宋体" w:eastAsia="宋体" w:cs="宋体"/>
      </w:rPr>
    </w:lvl>
    <w:lvl w:ilvl="1" w:tentative="0">
      <w:start w:val="1"/>
      <w:numFmt w:val="none"/>
      <w:suff w:val="nothing"/>
      <w:lvlText w:val=""/>
      <w:lvlJc w:val="left"/>
      <w:pPr>
        <w:ind w:left="0" w:firstLine="0"/>
      </w:pPr>
      <w:rPr>
        <w:rFonts w:hint="default" w:ascii="宋体" w:hAnsi="宋体" w:eastAsia="宋体" w:cs="宋体"/>
      </w:rPr>
    </w:lvl>
    <w:lvl w:ilvl="2" w:tentative="0">
      <w:start w:val="1"/>
      <w:numFmt w:val="decimal"/>
      <w:pStyle w:val="5"/>
      <w:isLgl/>
      <w:suff w:val="nothing"/>
      <w:lvlText w:val="%3、"/>
      <w:lvlJc w:val="left"/>
      <w:pPr>
        <w:tabs>
          <w:tab w:val="left" w:pos="0"/>
        </w:tabs>
        <w:ind w:left="0" w:firstLine="0"/>
      </w:pPr>
      <w:rPr>
        <w:rFonts w:hint="default" w:ascii="宋体" w:hAnsi="宋体" w:eastAsia="宋体" w:cs="宋体"/>
        <w:color w:val="auto"/>
      </w:rPr>
    </w:lvl>
    <w:lvl w:ilvl="3" w:tentative="0">
      <w:start w:val="1"/>
      <w:numFmt w:val="decimal"/>
      <w:isLgl/>
      <w:suff w:val="nothing"/>
      <w:lvlText w:val="%3.%4"/>
      <w:lvlJc w:val="left"/>
      <w:pPr>
        <w:tabs>
          <w:tab w:val="left" w:pos="0"/>
        </w:tabs>
        <w:ind w:left="0" w:firstLine="0"/>
      </w:pPr>
      <w:rPr>
        <w:rFonts w:hint="default" w:ascii="宋体" w:hAnsi="宋体" w:eastAsia="宋体" w:cs="宋体"/>
      </w:rPr>
    </w:lvl>
    <w:lvl w:ilvl="4" w:tentative="0">
      <w:start w:val="1"/>
      <w:numFmt w:val="decimal"/>
      <w:pStyle w:val="6"/>
      <w:isLgl/>
      <w:suff w:val="nothing"/>
      <w:lvlText w:val="%3.%4.%5"/>
      <w:lvlJc w:val="left"/>
      <w:pPr>
        <w:tabs>
          <w:tab w:val="left" w:pos="0"/>
        </w:tabs>
        <w:ind w:left="0" w:firstLine="0"/>
      </w:pPr>
      <w:rPr>
        <w:rFonts w:hint="default"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5C78D6CF"/>
    <w:multiLevelType w:val="singleLevel"/>
    <w:tmpl w:val="5C78D6CF"/>
    <w:lvl w:ilvl="0" w:tentative="0">
      <w:start w:val="1"/>
      <w:numFmt w:val="chineseCounting"/>
      <w:suff w:val="nothing"/>
      <w:lvlText w:val="%1、"/>
      <w:lvlJc w:val="left"/>
      <w:pPr>
        <w:ind w:left="0" w:firstLine="420"/>
      </w:pPr>
      <w:rPr>
        <w:rFonts w:hint="eastAsia"/>
      </w:rPr>
    </w:lvl>
  </w:abstractNum>
  <w:abstractNum w:abstractNumId="3">
    <w:nsid w:val="63A57285"/>
    <w:multiLevelType w:val="singleLevel"/>
    <w:tmpl w:val="63A57285"/>
    <w:lvl w:ilvl="0" w:tentative="0">
      <w:start w:val="1"/>
      <w:numFmt w:val="decimal"/>
      <w:lvlText w:val="1.%1"/>
      <w:lvlJc w:val="left"/>
      <w:pPr>
        <w:tabs>
          <w:tab w:val="left" w:pos="420"/>
        </w:tabs>
        <w:ind w:left="425" w:hanging="425"/>
      </w:pPr>
      <w:rPr>
        <w:rFonts w:hint="default"/>
      </w:rPr>
    </w:lvl>
  </w:abstractNum>
  <w:abstractNum w:abstractNumId="4">
    <w:nsid w:val="67AEB9E0"/>
    <w:multiLevelType w:val="singleLevel"/>
    <w:tmpl w:val="67AEB9E0"/>
    <w:lvl w:ilvl="0" w:tentative="0">
      <w:start w:val="1"/>
      <w:numFmt w:val="decimal"/>
      <w:lvlText w:val="%1."/>
      <w:lvlJc w:val="left"/>
      <w:pPr>
        <w:tabs>
          <w:tab w:val="left" w:pos="312"/>
        </w:tabs>
      </w:pPr>
    </w:lvl>
  </w:abstractNum>
  <w:abstractNum w:abstractNumId="5">
    <w:nsid w:val="687219EC"/>
    <w:multiLevelType w:val="singleLevel"/>
    <w:tmpl w:val="687219EC"/>
    <w:lvl w:ilvl="0" w:tentative="0">
      <w:start w:val="1"/>
      <w:numFmt w:val="decimal"/>
      <w:suff w:val="nothing"/>
      <w:lvlText w:val="3.%1"/>
      <w:lvlJc w:val="left"/>
      <w:pPr>
        <w:tabs>
          <w:tab w:val="left" w:pos="0"/>
        </w:tabs>
        <w:ind w:left="0" w:firstLine="0"/>
      </w:pPr>
      <w:rPr>
        <w:rFonts w:hint="default" w:ascii="宋体" w:hAnsi="宋体" w:eastAsia="宋体" w:cs="宋体"/>
      </w:rPr>
    </w:lvl>
  </w:abstractNum>
  <w:abstractNum w:abstractNumId="6">
    <w:nsid w:val="68721A49"/>
    <w:multiLevelType w:val="singleLevel"/>
    <w:tmpl w:val="68721A49"/>
    <w:lvl w:ilvl="0" w:tentative="0">
      <w:start w:val="1"/>
      <w:numFmt w:val="decimal"/>
      <w:suff w:val="nothing"/>
      <w:lvlText w:val="3.1.%1"/>
      <w:lvlJc w:val="left"/>
      <w:pPr>
        <w:tabs>
          <w:tab w:val="left" w:pos="0"/>
        </w:tabs>
        <w:ind w:left="0" w:firstLine="0"/>
      </w:pPr>
      <w:rPr>
        <w:rFonts w:hint="default" w:ascii="宋体" w:hAnsi="宋体" w:eastAsia="宋体" w:cs="宋体"/>
      </w:r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A08E6"/>
    <w:rsid w:val="09384A1F"/>
    <w:rsid w:val="17066B3A"/>
    <w:rsid w:val="185C5BFE"/>
    <w:rsid w:val="21121315"/>
    <w:rsid w:val="223615A8"/>
    <w:rsid w:val="234A08E6"/>
    <w:rsid w:val="2F66397D"/>
    <w:rsid w:val="315862E5"/>
    <w:rsid w:val="329511BD"/>
    <w:rsid w:val="39CD1864"/>
    <w:rsid w:val="3CBB1452"/>
    <w:rsid w:val="429546DE"/>
    <w:rsid w:val="44E9041A"/>
    <w:rsid w:val="4BCB5E91"/>
    <w:rsid w:val="52E53CDC"/>
    <w:rsid w:val="5A386DE8"/>
    <w:rsid w:val="5E000ACE"/>
    <w:rsid w:val="5FC1162D"/>
    <w:rsid w:val="60691493"/>
    <w:rsid w:val="660D1128"/>
    <w:rsid w:val="6FE47D36"/>
    <w:rsid w:val="77125414"/>
    <w:rsid w:val="78234568"/>
    <w:rsid w:val="7E46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line="360" w:lineRule="auto"/>
      <w:outlineLvl w:val="0"/>
    </w:pPr>
    <w:rPr>
      <w:rFonts w:ascii="Times New Roman" w:hAnsi="Times New Roman"/>
      <w:kern w:val="44"/>
      <w:sz w:val="32"/>
    </w:rPr>
  </w:style>
  <w:style w:type="paragraph" w:styleId="4">
    <w:name w:val="heading 2"/>
    <w:basedOn w:val="1"/>
    <w:next w:val="1"/>
    <w:unhideWhenUsed/>
    <w:qFormat/>
    <w:uiPriority w:val="0"/>
    <w:pPr>
      <w:keepNext/>
      <w:keepLines/>
      <w:spacing w:before="60" w:after="60" w:line="413" w:lineRule="auto"/>
      <w:outlineLvl w:val="1"/>
    </w:pPr>
    <w:rPr>
      <w:rFonts w:ascii="Arial" w:hAnsi="Arial" w:eastAsia="黑体"/>
      <w:b/>
      <w:kern w:val="2"/>
      <w:sz w:val="21"/>
    </w:rPr>
  </w:style>
  <w:style w:type="paragraph" w:styleId="5">
    <w:name w:val="heading 3"/>
    <w:basedOn w:val="1"/>
    <w:next w:val="1"/>
    <w:unhideWhenUsed/>
    <w:qFormat/>
    <w:uiPriority w:val="0"/>
    <w:pPr>
      <w:keepNext/>
      <w:keepLines/>
      <w:numPr>
        <w:ilvl w:val="2"/>
        <w:numId w:val="1"/>
      </w:numPr>
      <w:tabs>
        <w:tab w:val="left" w:pos="720"/>
        <w:tab w:val="clear" w:pos="0"/>
      </w:tabs>
      <w:adjustRightInd w:val="0"/>
      <w:snapToGrid w:val="0"/>
      <w:spacing w:line="360" w:lineRule="auto"/>
      <w:outlineLvl w:val="2"/>
    </w:pPr>
    <w:rPr>
      <w:rFonts w:eastAsia="宋体"/>
      <w:b/>
    </w:rPr>
  </w:style>
  <w:style w:type="paragraph" w:styleId="6">
    <w:name w:val="heading 5"/>
    <w:basedOn w:val="1"/>
    <w:next w:val="1"/>
    <w:qFormat/>
    <w:uiPriority w:val="0"/>
    <w:pPr>
      <w:keepNext/>
      <w:keepLines/>
      <w:numPr>
        <w:ilvl w:val="4"/>
        <w:numId w:val="1"/>
      </w:numPr>
      <w:adjustRightInd w:val="0"/>
      <w:snapToGrid w:val="0"/>
      <w:spacing w:line="360" w:lineRule="auto"/>
      <w:outlineLvl w:val="4"/>
    </w:pPr>
    <w:rPr>
      <w:rFonts w:eastAsia="宋体"/>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文本1"/>
    <w:basedOn w:val="1"/>
    <w:autoRedefine/>
    <w:qFormat/>
    <w:uiPriority w:val="0"/>
    <w:rPr>
      <w:rFonts w:ascii="金山简黑体" w:hAnsi="Courier New" w:eastAsia="金山简黑体"/>
      <w:b/>
      <w:spacing w:val="-8"/>
      <w:sz w:val="44"/>
    </w:rPr>
  </w:style>
  <w:style w:type="paragraph" w:styleId="7">
    <w:name w:val="Normal Indent"/>
    <w:basedOn w:val="1"/>
    <w:qFormat/>
    <w:uiPriority w:val="0"/>
    <w:pPr>
      <w:widowControl/>
      <w:ind w:firstLine="420"/>
      <w:jc w:val="left"/>
    </w:pPr>
    <w:rPr>
      <w:sz w:val="20"/>
    </w:rPr>
  </w:style>
  <w:style w:type="paragraph" w:styleId="8">
    <w:name w:val="Body Text 3"/>
    <w:basedOn w:val="1"/>
    <w:qFormat/>
    <w:uiPriority w:val="0"/>
    <w:pPr>
      <w:widowControl/>
      <w:spacing w:line="360" w:lineRule="auto"/>
    </w:pPr>
    <w:rPr>
      <w:rFonts w:ascii="宋体" w:hAnsi="Arial"/>
      <w:lang w:val="en-GB"/>
    </w:rPr>
  </w:style>
  <w:style w:type="paragraph" w:styleId="9">
    <w:name w:val="Body Text"/>
    <w:basedOn w:val="1"/>
    <w:qFormat/>
    <w:uiPriority w:val="0"/>
    <w:pPr>
      <w:adjustRightInd w:val="0"/>
      <w:spacing w:after="60" w:line="360" w:lineRule="atLeast"/>
      <w:ind w:left="72" w:leftChars="30" w:right="30" w:rightChars="30"/>
      <w:jc w:val="center"/>
      <w:textAlignment w:val="baseline"/>
    </w:pPr>
    <w:rPr>
      <w:szCs w:val="22"/>
    </w:rPr>
  </w:style>
  <w:style w:type="paragraph" w:styleId="10">
    <w:name w:val="Plain Text"/>
    <w:basedOn w:val="1"/>
    <w:qFormat/>
    <w:uiPriority w:val="0"/>
    <w:rPr>
      <w:rFonts w:ascii="宋体" w:hAnsi="Courier New"/>
      <w:szCs w:val="20"/>
    </w:rPr>
  </w:style>
  <w:style w:type="paragraph" w:styleId="11">
    <w:name w:val="footnote text"/>
    <w:basedOn w:val="1"/>
    <w:qFormat/>
    <w:uiPriority w:val="0"/>
    <w:pPr>
      <w:adjustRightInd w:val="0"/>
      <w:spacing w:line="312" w:lineRule="atLeast"/>
      <w:jc w:val="left"/>
      <w:textAlignment w:val="baseline"/>
    </w:pPr>
    <w:rPr>
      <w:rFonts w:eastAsia="宋体"/>
      <w:sz w:val="18"/>
    </w:rPr>
  </w:style>
  <w:style w:type="paragraph" w:styleId="12">
    <w:name w:val="Normal (Web)"/>
    <w:basedOn w:val="1"/>
    <w:qFormat/>
    <w:uiPriority w:val="0"/>
    <w:pPr>
      <w:widowControl/>
      <w:spacing w:before="100" w:beforeAutospacing="1" w:after="100" w:afterAutospacing="1"/>
      <w:jc w:val="left"/>
    </w:pPr>
    <w:rPr>
      <w:rFonts w:ascii="宋体" w:hAnsi="宋体"/>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
    <w:basedOn w:val="1"/>
    <w:qFormat/>
    <w:uiPriority w:val="0"/>
    <w:pPr>
      <w:jc w:val="center"/>
    </w:pPr>
    <w:rPr>
      <w:rFonts w:ascii="Calibri" w:hAnsi="Calibri" w:eastAsia="宋体"/>
      <w:szCs w:val="22"/>
    </w:rPr>
  </w:style>
  <w:style w:type="paragraph" w:customStyle="1" w:styleId="17">
    <w:name w:val="Default"/>
    <w:next w:val="11"/>
    <w:autoRedefine/>
    <w:qFormat/>
    <w:uiPriority w:val="0"/>
    <w:pPr>
      <w:widowControl w:val="0"/>
      <w:autoSpaceDE w:val="0"/>
      <w:autoSpaceDN w:val="0"/>
      <w:adjustRightInd w:val="0"/>
    </w:pPr>
    <w:rPr>
      <w:rFonts w:ascii="Times New Roman" w:hAnsi="Times New Roman" w:eastAsia="宋体" w:cs="Times New Roman"/>
      <w:color w:val="000000"/>
      <w:kern w:val="2"/>
      <w:sz w:val="24"/>
      <w:lang w:val="en-US" w:eastAsia="zh-CN" w:bidi="ar-SA"/>
    </w:rPr>
  </w:style>
  <w:style w:type="paragraph" w:customStyle="1" w:styleId="18">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eastAsia="宋体"/>
    </w:rPr>
  </w:style>
  <w:style w:type="paragraph" w:customStyle="1" w:styleId="19">
    <w:name w:val="text"/>
    <w:basedOn w:val="1"/>
    <w:qFormat/>
    <w:uiPriority w:val="0"/>
    <w:pPr>
      <w:widowControl/>
      <w:tabs>
        <w:tab w:val="left" w:pos="1050"/>
      </w:tabs>
      <w:overflowPunct w:val="0"/>
      <w:autoSpaceDE w:val="0"/>
      <w:autoSpaceDN w:val="0"/>
      <w:adjustRightInd w:val="0"/>
      <w:spacing w:before="240"/>
      <w:ind w:left="1049"/>
      <w:textAlignment w:val="baseline"/>
    </w:pPr>
    <w:rPr>
      <w:rFonts w:ascii="Times New Roman" w:hAnsi="Times New Roman" w:eastAsia="宋体" w:cs="Times New Roman"/>
      <w:sz w:val="24"/>
    </w:rPr>
  </w:style>
  <w:style w:type="paragraph" w:customStyle="1" w:styleId="20">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4555</Words>
  <Characters>4965</Characters>
  <Lines>0</Lines>
  <Paragraphs>0</Paragraphs>
  <TotalTime>29</TotalTime>
  <ScaleCrop>false</ScaleCrop>
  <LinksUpToDate>false</LinksUpToDate>
  <CharactersWithSpaces>5556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2025-07-10T10:14:00Z</dcterms:created>
  <dc:creator>Administrator</dc:creator>
  <cp:lastModifiedBy>NTKO</cp:lastModifiedBy>
  <dcterms:modified xsi:type="dcterms:W3CDTF">2026-03-18T08:33:42Z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B67978CDF1DE49B992AC3710F153583F_11</vt:lpwstr>
  </property>
  <property fmtid="{D5CDD505-2E9C-101B-9397-08002B2CF9AE}" pid="4" name="KSOTemplateDocerSaveRecord">
    <vt:lpwstr>eyJoZGlkIjoiM2ZjMWU5NDIyZDA5MWQ0OWEzOGIyYWM2MGNjMzQwZjYiLCJ1c2VySWQiOiI3MDk0MTUxMTAifQ==</vt:lpwstr>
  </property>
</Properties>
</file>